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21</w:t>
      </w:r>
      <w:r w:rsidR="002670D5">
        <w:rPr>
          <w:rFonts w:ascii="Palatino Linotype" w:hAnsi="Palatino Linotype" w:cs="Arial"/>
          <w:b/>
          <w:bCs/>
          <w:sz w:val="23"/>
          <w:szCs w:val="23"/>
        </w:rPr>
        <w:t>56</w:t>
      </w:r>
      <w:r w:rsidR="0032240B">
        <w:rPr>
          <w:rFonts w:ascii="Palatino Linotype" w:hAnsi="Palatino Linotype" w:cs="Arial"/>
          <w:b/>
          <w:bCs/>
          <w:sz w:val="23"/>
          <w:szCs w:val="23"/>
        </w:rPr>
        <w:t>/INFOEM/IP/RR/2018</w:t>
      </w:r>
      <w:r w:rsidR="004F2B5F">
        <w:rPr>
          <w:rFonts w:ascii="Palatino Linotype" w:hAnsi="Palatino Linotype" w:cs="Arial"/>
          <w:b/>
          <w:bCs/>
          <w:sz w:val="23"/>
          <w:szCs w:val="23"/>
        </w:rPr>
        <w:t xml:space="preserve"> y acumulados. </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336B5F" w:rsidRDefault="00336B5F" w:rsidP="00E6179D">
      <w:pPr>
        <w:spacing w:after="0" w:line="360" w:lineRule="auto"/>
        <w:jc w:val="both"/>
        <w:rPr>
          <w:rFonts w:ascii="Palatino Linotype" w:eastAsia="Calibri" w:hAnsi="Palatino Linotype" w:cs="Arial"/>
          <w:sz w:val="24"/>
          <w:szCs w:val="24"/>
        </w:rPr>
      </w:pPr>
    </w:p>
    <w:p w:rsidR="00336B5F" w:rsidRDefault="00336B5F" w:rsidP="00336B5F">
      <w:pPr>
        <w:spacing w:line="360" w:lineRule="auto"/>
        <w:jc w:val="both"/>
        <w:rPr>
          <w:rFonts w:ascii="Palatino Linotype" w:hAnsi="Palatino Linotype"/>
          <w:sz w:val="24"/>
          <w:szCs w:val="24"/>
        </w:rPr>
      </w:pPr>
      <w:r w:rsidRPr="009A3225">
        <w:rPr>
          <w:rFonts w:ascii="Palatino Linotype" w:hAnsi="Palatino Linotype"/>
          <w:sz w:val="24"/>
          <w:szCs w:val="24"/>
        </w:rPr>
        <w:t>La fotografía en la cédula o título profesional, es un requisito que debe reunir el interesado a quien se le expedirán y constituye un elemento indispensable de identidad de la persona a quie</w:t>
      </w:r>
      <w:r>
        <w:rPr>
          <w:rFonts w:ascii="Palatino Linotype" w:hAnsi="Palatino Linotype"/>
          <w:sz w:val="24"/>
          <w:szCs w:val="24"/>
        </w:rPr>
        <w:t>n se le expide.</w:t>
      </w:r>
    </w:p>
    <w:p w:rsidR="00336B5F" w:rsidRDefault="00336B5F" w:rsidP="00336B5F">
      <w:pPr>
        <w:spacing w:line="360" w:lineRule="auto"/>
        <w:jc w:val="both"/>
        <w:rPr>
          <w:rFonts w:ascii="Palatino Linotype" w:hAnsi="Palatino Linotype"/>
          <w:sz w:val="24"/>
          <w:szCs w:val="24"/>
        </w:rPr>
      </w:pPr>
    </w:p>
    <w:p w:rsidR="00336B5F" w:rsidRDefault="00336B5F" w:rsidP="00336B5F">
      <w:pPr>
        <w:spacing w:line="360" w:lineRule="auto"/>
        <w:jc w:val="both"/>
        <w:rPr>
          <w:rFonts w:ascii="Palatino Linotype" w:hAnsi="Palatino Linotype"/>
          <w:color w:val="000000" w:themeColor="text1"/>
          <w:sz w:val="24"/>
          <w:szCs w:val="24"/>
        </w:rPr>
      </w:pPr>
      <w:r>
        <w:rPr>
          <w:rFonts w:ascii="Palatino Linotype" w:hAnsi="Palatino Linotype"/>
          <w:sz w:val="24"/>
          <w:szCs w:val="24"/>
        </w:rPr>
        <w:t xml:space="preserve">El título </w:t>
      </w:r>
      <w:r w:rsidRPr="009A3225">
        <w:rPr>
          <w:rFonts w:ascii="Palatino Linotype" w:hAnsi="Palatino Linotype"/>
          <w:color w:val="000000" w:themeColor="text1"/>
          <w:sz w:val="24"/>
          <w:szCs w:val="24"/>
        </w:rPr>
        <w:t>profesional se integra por un conjunto de elementos cuya concurrencia simultánea permiten identificar clara e indubitablemente que una persona determinada cuenta con título para desempeñar una profesión y que por ello se ha emitido la respectiva patente</w:t>
      </w:r>
      <w:r>
        <w:rPr>
          <w:rFonts w:ascii="Palatino Linotype" w:hAnsi="Palatino Linotype"/>
          <w:color w:val="000000" w:themeColor="text1"/>
          <w:sz w:val="24"/>
          <w:szCs w:val="24"/>
        </w:rPr>
        <w:t>.</w:t>
      </w:r>
    </w:p>
    <w:p w:rsidR="00336B5F" w:rsidRDefault="00336B5F" w:rsidP="00E6179D">
      <w:pPr>
        <w:spacing w:after="0" w:line="360" w:lineRule="auto"/>
        <w:jc w:val="both"/>
        <w:rPr>
          <w:rFonts w:ascii="Palatino Linotype" w:eastAsia="Calibri" w:hAnsi="Palatino Linotype" w:cs="Arial"/>
          <w:sz w:val="24"/>
          <w:szCs w:val="24"/>
        </w:rPr>
      </w:pPr>
    </w:p>
    <w:p w:rsidR="00336B5F" w:rsidRDefault="00336B5F" w:rsidP="00E6179D">
      <w:pPr>
        <w:spacing w:after="0" w:line="360" w:lineRule="auto"/>
        <w:jc w:val="both"/>
        <w:rPr>
          <w:rFonts w:ascii="Palatino Linotype" w:eastAsia="Calibri" w:hAnsi="Palatino Linotype" w:cs="Arial"/>
          <w:sz w:val="24"/>
          <w:szCs w:val="24"/>
        </w:rPr>
      </w:pPr>
    </w:p>
    <w:p w:rsidR="00336B5F" w:rsidRPr="00427B79" w:rsidRDefault="00336B5F"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lastRenderedPageBreak/>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4F2B5F" w:rsidRDefault="00E6179D">
          <w:pPr>
            <w:pStyle w:val="TDC1"/>
            <w:rPr>
              <w:rFonts w:asciiTheme="minorHAnsi" w:eastAsiaTheme="minorEastAsia" w:hAnsiTheme="minorHAnsi"/>
              <w:b w:val="0"/>
              <w:sz w:val="22"/>
              <w:szCs w:val="22"/>
              <w:lang w:eastAsia="es-MX"/>
            </w:rPr>
          </w:pPr>
          <w:r w:rsidRPr="005F3E96">
            <w:rPr>
              <w:sz w:val="24"/>
              <w:szCs w:val="24"/>
            </w:rPr>
            <w:fldChar w:fldCharType="begin"/>
          </w:r>
          <w:r w:rsidRPr="005F3E96">
            <w:rPr>
              <w:sz w:val="24"/>
              <w:szCs w:val="24"/>
            </w:rPr>
            <w:instrText xml:space="preserve"> TOC \o "1-3" \h \z \u </w:instrText>
          </w:r>
          <w:r w:rsidRPr="005F3E96">
            <w:rPr>
              <w:sz w:val="24"/>
              <w:szCs w:val="24"/>
            </w:rPr>
            <w:fldChar w:fldCharType="separate"/>
          </w:r>
          <w:hyperlink w:anchor="_Toc521923716" w:history="1">
            <w:r w:rsidR="004F2B5F" w:rsidRPr="00F56AFC">
              <w:rPr>
                <w:rStyle w:val="Hipervnculo"/>
                <w:rFonts w:eastAsia="Times New Roman"/>
              </w:rPr>
              <w:t>I.</w:t>
            </w:r>
            <w:r w:rsidR="004F2B5F">
              <w:rPr>
                <w:rFonts w:asciiTheme="minorHAnsi" w:eastAsiaTheme="minorEastAsia" w:hAnsiTheme="minorHAnsi"/>
                <w:b w:val="0"/>
                <w:sz w:val="22"/>
                <w:szCs w:val="22"/>
                <w:lang w:eastAsia="es-MX"/>
              </w:rPr>
              <w:tab/>
            </w:r>
            <w:r w:rsidR="004F2B5F" w:rsidRPr="00F56AFC">
              <w:rPr>
                <w:rStyle w:val="Hipervnculo"/>
                <w:rFonts w:eastAsia="Times New Roman"/>
              </w:rPr>
              <w:t>Consideraciones Generales</w:t>
            </w:r>
            <w:r w:rsidR="004F2B5F">
              <w:rPr>
                <w:webHidden/>
              </w:rPr>
              <w:tab/>
            </w:r>
            <w:r w:rsidR="004F2B5F">
              <w:rPr>
                <w:webHidden/>
              </w:rPr>
              <w:fldChar w:fldCharType="begin"/>
            </w:r>
            <w:r w:rsidR="004F2B5F">
              <w:rPr>
                <w:webHidden/>
              </w:rPr>
              <w:instrText xml:space="preserve"> PAGEREF _Toc521923716 \h </w:instrText>
            </w:r>
            <w:r w:rsidR="004F2B5F">
              <w:rPr>
                <w:webHidden/>
              </w:rPr>
            </w:r>
            <w:r w:rsidR="004F2B5F">
              <w:rPr>
                <w:webHidden/>
              </w:rPr>
              <w:fldChar w:fldCharType="separate"/>
            </w:r>
            <w:r w:rsidR="005D4EE0">
              <w:rPr>
                <w:webHidden/>
              </w:rPr>
              <w:t>2</w:t>
            </w:r>
            <w:r w:rsidR="004F2B5F">
              <w:rPr>
                <w:webHidden/>
              </w:rPr>
              <w:fldChar w:fldCharType="end"/>
            </w:r>
          </w:hyperlink>
        </w:p>
        <w:p w:rsidR="004F2B5F" w:rsidRDefault="005F737B">
          <w:pPr>
            <w:pStyle w:val="TDC1"/>
            <w:rPr>
              <w:rFonts w:asciiTheme="minorHAnsi" w:eastAsiaTheme="minorEastAsia" w:hAnsiTheme="minorHAnsi"/>
              <w:b w:val="0"/>
              <w:sz w:val="22"/>
              <w:szCs w:val="22"/>
              <w:lang w:eastAsia="es-MX"/>
            </w:rPr>
          </w:pPr>
          <w:hyperlink w:anchor="_Toc521923717" w:history="1">
            <w:r w:rsidR="004F2B5F" w:rsidRPr="00F56AFC">
              <w:rPr>
                <w:rStyle w:val="Hipervnculo"/>
                <w:rFonts w:eastAsia="Calibri"/>
                <w:lang w:val="es-ES"/>
              </w:rPr>
              <w:t>II.</w:t>
            </w:r>
            <w:r w:rsidR="004F2B5F">
              <w:rPr>
                <w:rFonts w:asciiTheme="minorHAnsi" w:eastAsiaTheme="minorEastAsia" w:hAnsiTheme="minorHAnsi"/>
                <w:b w:val="0"/>
                <w:sz w:val="22"/>
                <w:szCs w:val="22"/>
                <w:lang w:eastAsia="es-MX"/>
              </w:rPr>
              <w:tab/>
            </w:r>
            <w:r w:rsidR="004F2B5F" w:rsidRPr="00F56AFC">
              <w:rPr>
                <w:rStyle w:val="Hipervnculo"/>
                <w:rFonts w:eastAsia="Calibri"/>
                <w:lang w:val="es-ES"/>
              </w:rPr>
              <w:t>De los requerimientos planteados en el recurso de revisión.</w:t>
            </w:r>
            <w:r w:rsidR="004F2B5F">
              <w:rPr>
                <w:webHidden/>
              </w:rPr>
              <w:tab/>
            </w:r>
            <w:r w:rsidR="004F2B5F">
              <w:rPr>
                <w:webHidden/>
              </w:rPr>
              <w:fldChar w:fldCharType="begin"/>
            </w:r>
            <w:r w:rsidR="004F2B5F">
              <w:rPr>
                <w:webHidden/>
              </w:rPr>
              <w:instrText xml:space="preserve"> PAGEREF _Toc521923717 \h </w:instrText>
            </w:r>
            <w:r w:rsidR="004F2B5F">
              <w:rPr>
                <w:webHidden/>
              </w:rPr>
            </w:r>
            <w:r w:rsidR="004F2B5F">
              <w:rPr>
                <w:webHidden/>
              </w:rPr>
              <w:fldChar w:fldCharType="separate"/>
            </w:r>
            <w:r w:rsidR="005D4EE0">
              <w:rPr>
                <w:webHidden/>
              </w:rPr>
              <w:t>3</w:t>
            </w:r>
            <w:r w:rsidR="004F2B5F">
              <w:rPr>
                <w:webHidden/>
              </w:rPr>
              <w:fldChar w:fldCharType="end"/>
            </w:r>
          </w:hyperlink>
        </w:p>
        <w:p w:rsidR="004F2B5F" w:rsidRDefault="005F737B">
          <w:pPr>
            <w:pStyle w:val="TDC2"/>
            <w:rPr>
              <w:rFonts w:eastAsiaTheme="minorEastAsia"/>
              <w:noProof/>
              <w:lang w:eastAsia="es-MX"/>
            </w:rPr>
          </w:pPr>
          <w:hyperlink w:anchor="_Toc521923718" w:history="1">
            <w:r w:rsidR="004F2B5F" w:rsidRPr="00F56AFC">
              <w:rPr>
                <w:rStyle w:val="Hipervnculo"/>
                <w:b/>
                <w:noProof/>
              </w:rPr>
              <w:t>III. Del Derecho de Acceso a la información pública y el deber de motivar.</w:t>
            </w:r>
            <w:r w:rsidR="004F2B5F">
              <w:rPr>
                <w:noProof/>
                <w:webHidden/>
              </w:rPr>
              <w:tab/>
            </w:r>
            <w:r w:rsidR="004F2B5F">
              <w:rPr>
                <w:noProof/>
                <w:webHidden/>
              </w:rPr>
              <w:fldChar w:fldCharType="begin"/>
            </w:r>
            <w:r w:rsidR="004F2B5F">
              <w:rPr>
                <w:noProof/>
                <w:webHidden/>
              </w:rPr>
              <w:instrText xml:space="preserve"> PAGEREF _Toc521923718 \h </w:instrText>
            </w:r>
            <w:r w:rsidR="004F2B5F">
              <w:rPr>
                <w:noProof/>
                <w:webHidden/>
              </w:rPr>
            </w:r>
            <w:r w:rsidR="004F2B5F">
              <w:rPr>
                <w:noProof/>
                <w:webHidden/>
              </w:rPr>
              <w:fldChar w:fldCharType="separate"/>
            </w:r>
            <w:r w:rsidR="005D4EE0">
              <w:rPr>
                <w:noProof/>
                <w:webHidden/>
              </w:rPr>
              <w:t>5</w:t>
            </w:r>
            <w:r w:rsidR="004F2B5F">
              <w:rPr>
                <w:noProof/>
                <w:webHidden/>
              </w:rPr>
              <w:fldChar w:fldCharType="end"/>
            </w:r>
          </w:hyperlink>
        </w:p>
        <w:p w:rsidR="004F2B5F" w:rsidRDefault="005F737B">
          <w:pPr>
            <w:pStyle w:val="TDC1"/>
            <w:rPr>
              <w:rFonts w:asciiTheme="minorHAnsi" w:eastAsiaTheme="minorEastAsia" w:hAnsiTheme="minorHAnsi"/>
              <w:b w:val="0"/>
              <w:sz w:val="22"/>
              <w:szCs w:val="22"/>
              <w:lang w:eastAsia="es-MX"/>
            </w:rPr>
          </w:pPr>
          <w:hyperlink w:anchor="_Toc521923719" w:history="1">
            <w:r w:rsidR="004F2B5F" w:rsidRPr="00F56AFC">
              <w:rPr>
                <w:rStyle w:val="Hipervnculo"/>
                <w:rFonts w:eastAsia="Calibri"/>
              </w:rPr>
              <w:t>IV. Del Pronunciamiento simple</w:t>
            </w:r>
            <w:r w:rsidR="004F2B5F">
              <w:rPr>
                <w:webHidden/>
              </w:rPr>
              <w:tab/>
            </w:r>
            <w:r w:rsidR="004F2B5F">
              <w:rPr>
                <w:webHidden/>
              </w:rPr>
              <w:fldChar w:fldCharType="begin"/>
            </w:r>
            <w:r w:rsidR="004F2B5F">
              <w:rPr>
                <w:webHidden/>
              </w:rPr>
              <w:instrText xml:space="preserve"> PAGEREF _Toc521923719 \h </w:instrText>
            </w:r>
            <w:r w:rsidR="004F2B5F">
              <w:rPr>
                <w:webHidden/>
              </w:rPr>
            </w:r>
            <w:r w:rsidR="004F2B5F">
              <w:rPr>
                <w:webHidden/>
              </w:rPr>
              <w:fldChar w:fldCharType="separate"/>
            </w:r>
            <w:r w:rsidR="005D4EE0">
              <w:rPr>
                <w:webHidden/>
              </w:rPr>
              <w:t>10</w:t>
            </w:r>
            <w:r w:rsidR="004F2B5F">
              <w:rPr>
                <w:webHidden/>
              </w:rPr>
              <w:fldChar w:fldCharType="end"/>
            </w:r>
          </w:hyperlink>
        </w:p>
        <w:p w:rsidR="004F2B5F" w:rsidRDefault="005F737B">
          <w:pPr>
            <w:pStyle w:val="TDC1"/>
            <w:rPr>
              <w:rFonts w:asciiTheme="minorHAnsi" w:eastAsiaTheme="minorEastAsia" w:hAnsiTheme="minorHAnsi"/>
              <w:b w:val="0"/>
              <w:sz w:val="22"/>
              <w:szCs w:val="22"/>
              <w:lang w:eastAsia="es-MX"/>
            </w:rPr>
          </w:pPr>
          <w:hyperlink w:anchor="_Toc521923720" w:history="1">
            <w:r w:rsidR="004F2B5F" w:rsidRPr="00F56AFC">
              <w:rPr>
                <w:rStyle w:val="Hipervnculo"/>
                <w:rFonts w:eastAsia="Calibri"/>
              </w:rPr>
              <w:t>V. La naturaleza de la Cédula Profesional</w:t>
            </w:r>
            <w:r w:rsidR="004F2B5F">
              <w:rPr>
                <w:webHidden/>
              </w:rPr>
              <w:tab/>
            </w:r>
            <w:r w:rsidR="004F2B5F">
              <w:rPr>
                <w:webHidden/>
              </w:rPr>
              <w:fldChar w:fldCharType="begin"/>
            </w:r>
            <w:r w:rsidR="004F2B5F">
              <w:rPr>
                <w:webHidden/>
              </w:rPr>
              <w:instrText xml:space="preserve"> PAGEREF _Toc521923720 \h </w:instrText>
            </w:r>
            <w:r w:rsidR="004F2B5F">
              <w:rPr>
                <w:webHidden/>
              </w:rPr>
            </w:r>
            <w:r w:rsidR="004F2B5F">
              <w:rPr>
                <w:webHidden/>
              </w:rPr>
              <w:fldChar w:fldCharType="separate"/>
            </w:r>
            <w:r w:rsidR="005D4EE0">
              <w:rPr>
                <w:webHidden/>
              </w:rPr>
              <w:t>17</w:t>
            </w:r>
            <w:r w:rsidR="004F2B5F">
              <w:rPr>
                <w:webHidden/>
              </w:rPr>
              <w:fldChar w:fldCharType="end"/>
            </w:r>
          </w:hyperlink>
        </w:p>
        <w:p w:rsidR="004F2B5F" w:rsidRDefault="005F737B">
          <w:pPr>
            <w:pStyle w:val="TDC1"/>
            <w:rPr>
              <w:rFonts w:asciiTheme="minorHAnsi" w:eastAsiaTheme="minorEastAsia" w:hAnsiTheme="minorHAnsi"/>
              <w:b w:val="0"/>
              <w:sz w:val="22"/>
              <w:szCs w:val="22"/>
              <w:lang w:eastAsia="es-MX"/>
            </w:rPr>
          </w:pPr>
          <w:hyperlink w:anchor="_Toc521923721" w:history="1">
            <w:r w:rsidR="004F2B5F" w:rsidRPr="00F56AFC">
              <w:rPr>
                <w:rStyle w:val="Hipervnculo"/>
              </w:rPr>
              <w:t>VI. La naturaleza de la función pública que se desempeña</w:t>
            </w:r>
            <w:r w:rsidR="004F2B5F" w:rsidRPr="00F56AFC">
              <w:rPr>
                <w:rStyle w:val="Hipervnculo"/>
                <w:rFonts w:cs="Arial"/>
              </w:rPr>
              <w:t>.</w:t>
            </w:r>
            <w:r w:rsidR="004F2B5F">
              <w:rPr>
                <w:webHidden/>
              </w:rPr>
              <w:tab/>
            </w:r>
            <w:r w:rsidR="004F2B5F">
              <w:rPr>
                <w:webHidden/>
              </w:rPr>
              <w:fldChar w:fldCharType="begin"/>
            </w:r>
            <w:r w:rsidR="004F2B5F">
              <w:rPr>
                <w:webHidden/>
              </w:rPr>
              <w:instrText xml:space="preserve"> PAGEREF _Toc521923721 \h </w:instrText>
            </w:r>
            <w:r w:rsidR="004F2B5F">
              <w:rPr>
                <w:webHidden/>
              </w:rPr>
            </w:r>
            <w:r w:rsidR="004F2B5F">
              <w:rPr>
                <w:webHidden/>
              </w:rPr>
              <w:fldChar w:fldCharType="separate"/>
            </w:r>
            <w:r w:rsidR="005D4EE0">
              <w:rPr>
                <w:webHidden/>
              </w:rPr>
              <w:t>18</w:t>
            </w:r>
            <w:r w:rsidR="004F2B5F">
              <w:rPr>
                <w:webHidden/>
              </w:rPr>
              <w:fldChar w:fldCharType="end"/>
            </w:r>
          </w:hyperlink>
        </w:p>
        <w:p w:rsidR="004F2B5F" w:rsidRDefault="005F737B">
          <w:pPr>
            <w:pStyle w:val="TDC1"/>
            <w:rPr>
              <w:rFonts w:asciiTheme="minorHAnsi" w:eastAsiaTheme="minorEastAsia" w:hAnsiTheme="minorHAnsi"/>
              <w:b w:val="0"/>
              <w:sz w:val="22"/>
              <w:szCs w:val="22"/>
              <w:lang w:eastAsia="es-MX"/>
            </w:rPr>
          </w:pPr>
          <w:hyperlink w:anchor="_Toc521923722" w:history="1">
            <w:r w:rsidR="004F2B5F" w:rsidRPr="00F56AFC">
              <w:rPr>
                <w:rStyle w:val="Hipervnculo"/>
              </w:rPr>
              <w:t>VII. Acceso a la información versus protección de datos personales</w:t>
            </w:r>
            <w:r w:rsidR="004F2B5F">
              <w:rPr>
                <w:webHidden/>
              </w:rPr>
              <w:tab/>
            </w:r>
            <w:r w:rsidR="004F2B5F">
              <w:rPr>
                <w:webHidden/>
              </w:rPr>
              <w:fldChar w:fldCharType="begin"/>
            </w:r>
            <w:r w:rsidR="004F2B5F">
              <w:rPr>
                <w:webHidden/>
              </w:rPr>
              <w:instrText xml:space="preserve"> PAGEREF _Toc521923722 \h </w:instrText>
            </w:r>
            <w:r w:rsidR="004F2B5F">
              <w:rPr>
                <w:webHidden/>
              </w:rPr>
            </w:r>
            <w:r w:rsidR="004F2B5F">
              <w:rPr>
                <w:webHidden/>
              </w:rPr>
              <w:fldChar w:fldCharType="separate"/>
            </w:r>
            <w:r w:rsidR="005D4EE0">
              <w:rPr>
                <w:webHidden/>
              </w:rPr>
              <w:t>19</w:t>
            </w:r>
            <w:r w:rsidR="004F2B5F">
              <w:rPr>
                <w:webHidden/>
              </w:rPr>
              <w:fldChar w:fldCharType="end"/>
            </w:r>
          </w:hyperlink>
        </w:p>
        <w:p w:rsidR="004F2B5F" w:rsidRDefault="005F737B">
          <w:pPr>
            <w:pStyle w:val="TDC1"/>
            <w:rPr>
              <w:rFonts w:asciiTheme="minorHAnsi" w:eastAsiaTheme="minorEastAsia" w:hAnsiTheme="minorHAnsi"/>
              <w:b w:val="0"/>
              <w:sz w:val="22"/>
              <w:szCs w:val="22"/>
              <w:lang w:eastAsia="es-MX"/>
            </w:rPr>
          </w:pPr>
          <w:hyperlink w:anchor="_Toc521923723" w:history="1">
            <w:r w:rsidR="004F2B5F" w:rsidRPr="00F56AFC">
              <w:rPr>
                <w:rStyle w:val="Hipervnculo"/>
              </w:rPr>
              <w:t>a)</w:t>
            </w:r>
            <w:r w:rsidR="004F2B5F">
              <w:rPr>
                <w:rFonts w:asciiTheme="minorHAnsi" w:eastAsiaTheme="minorEastAsia" w:hAnsiTheme="minorHAnsi"/>
                <w:b w:val="0"/>
                <w:sz w:val="22"/>
                <w:szCs w:val="22"/>
                <w:lang w:eastAsia="es-MX"/>
              </w:rPr>
              <w:tab/>
            </w:r>
            <w:r w:rsidR="004F2B5F" w:rsidRPr="00F56AFC">
              <w:rPr>
                <w:rStyle w:val="Hipervnculo"/>
              </w:rPr>
              <w:t>Juicio de idoneidad.</w:t>
            </w:r>
            <w:r w:rsidR="004F2B5F">
              <w:rPr>
                <w:webHidden/>
              </w:rPr>
              <w:tab/>
            </w:r>
            <w:r w:rsidR="004F2B5F">
              <w:rPr>
                <w:webHidden/>
              </w:rPr>
              <w:fldChar w:fldCharType="begin"/>
            </w:r>
            <w:r w:rsidR="004F2B5F">
              <w:rPr>
                <w:webHidden/>
              </w:rPr>
              <w:instrText xml:space="preserve"> PAGEREF _Toc521923723 \h </w:instrText>
            </w:r>
            <w:r w:rsidR="004F2B5F">
              <w:rPr>
                <w:webHidden/>
              </w:rPr>
            </w:r>
            <w:r w:rsidR="004F2B5F">
              <w:rPr>
                <w:webHidden/>
              </w:rPr>
              <w:fldChar w:fldCharType="separate"/>
            </w:r>
            <w:r w:rsidR="005D4EE0">
              <w:rPr>
                <w:webHidden/>
              </w:rPr>
              <w:t>22</w:t>
            </w:r>
            <w:r w:rsidR="004F2B5F">
              <w:rPr>
                <w:webHidden/>
              </w:rPr>
              <w:fldChar w:fldCharType="end"/>
            </w:r>
          </w:hyperlink>
        </w:p>
        <w:p w:rsidR="004F2B5F" w:rsidRDefault="005F737B">
          <w:pPr>
            <w:pStyle w:val="TDC1"/>
            <w:rPr>
              <w:rFonts w:asciiTheme="minorHAnsi" w:eastAsiaTheme="minorEastAsia" w:hAnsiTheme="minorHAnsi"/>
              <w:b w:val="0"/>
              <w:sz w:val="22"/>
              <w:szCs w:val="22"/>
              <w:lang w:eastAsia="es-MX"/>
            </w:rPr>
          </w:pPr>
          <w:hyperlink w:anchor="_Toc521923724" w:history="1">
            <w:r w:rsidR="004F2B5F" w:rsidRPr="00F56AFC">
              <w:rPr>
                <w:rStyle w:val="Hipervnculo"/>
              </w:rPr>
              <w:t>b)</w:t>
            </w:r>
            <w:r w:rsidR="004F2B5F">
              <w:rPr>
                <w:rFonts w:asciiTheme="minorHAnsi" w:eastAsiaTheme="minorEastAsia" w:hAnsiTheme="minorHAnsi"/>
                <w:b w:val="0"/>
                <w:sz w:val="22"/>
                <w:szCs w:val="22"/>
                <w:lang w:eastAsia="es-MX"/>
              </w:rPr>
              <w:tab/>
            </w:r>
            <w:r w:rsidR="004F2B5F" w:rsidRPr="00F56AFC">
              <w:rPr>
                <w:rStyle w:val="Hipervnculo"/>
              </w:rPr>
              <w:t>Juicio de Necesidad.</w:t>
            </w:r>
            <w:r w:rsidR="004F2B5F">
              <w:rPr>
                <w:webHidden/>
              </w:rPr>
              <w:tab/>
            </w:r>
            <w:r w:rsidR="004F2B5F">
              <w:rPr>
                <w:webHidden/>
              </w:rPr>
              <w:fldChar w:fldCharType="begin"/>
            </w:r>
            <w:r w:rsidR="004F2B5F">
              <w:rPr>
                <w:webHidden/>
              </w:rPr>
              <w:instrText xml:space="preserve"> PAGEREF _Toc521923724 \h </w:instrText>
            </w:r>
            <w:r w:rsidR="004F2B5F">
              <w:rPr>
                <w:webHidden/>
              </w:rPr>
            </w:r>
            <w:r w:rsidR="004F2B5F">
              <w:rPr>
                <w:webHidden/>
              </w:rPr>
              <w:fldChar w:fldCharType="separate"/>
            </w:r>
            <w:r w:rsidR="005D4EE0">
              <w:rPr>
                <w:webHidden/>
              </w:rPr>
              <w:t>22</w:t>
            </w:r>
            <w:r w:rsidR="004F2B5F">
              <w:rPr>
                <w:webHidden/>
              </w:rPr>
              <w:fldChar w:fldCharType="end"/>
            </w:r>
          </w:hyperlink>
        </w:p>
        <w:p w:rsidR="004F2B5F" w:rsidRDefault="005F737B">
          <w:pPr>
            <w:pStyle w:val="TDC1"/>
            <w:rPr>
              <w:rFonts w:asciiTheme="minorHAnsi" w:eastAsiaTheme="minorEastAsia" w:hAnsiTheme="minorHAnsi"/>
              <w:b w:val="0"/>
              <w:sz w:val="22"/>
              <w:szCs w:val="22"/>
              <w:lang w:eastAsia="es-MX"/>
            </w:rPr>
          </w:pPr>
          <w:hyperlink w:anchor="_Toc521923725" w:history="1">
            <w:r w:rsidR="004F2B5F" w:rsidRPr="00F56AFC">
              <w:rPr>
                <w:rStyle w:val="Hipervnculo"/>
              </w:rPr>
              <w:t>c)</w:t>
            </w:r>
            <w:r w:rsidR="004F2B5F">
              <w:rPr>
                <w:rFonts w:asciiTheme="minorHAnsi" w:eastAsiaTheme="minorEastAsia" w:hAnsiTheme="minorHAnsi"/>
                <w:b w:val="0"/>
                <w:sz w:val="22"/>
                <w:szCs w:val="22"/>
                <w:lang w:eastAsia="es-MX"/>
              </w:rPr>
              <w:tab/>
            </w:r>
            <w:r w:rsidR="004F2B5F" w:rsidRPr="00F56AFC">
              <w:rPr>
                <w:rStyle w:val="Hipervnculo"/>
              </w:rPr>
              <w:t>Juicio de estricta proporcionalidad.</w:t>
            </w:r>
            <w:r w:rsidR="004F2B5F">
              <w:rPr>
                <w:webHidden/>
              </w:rPr>
              <w:tab/>
            </w:r>
            <w:r w:rsidR="004F2B5F">
              <w:rPr>
                <w:webHidden/>
              </w:rPr>
              <w:fldChar w:fldCharType="begin"/>
            </w:r>
            <w:r w:rsidR="004F2B5F">
              <w:rPr>
                <w:webHidden/>
              </w:rPr>
              <w:instrText xml:space="preserve"> PAGEREF _Toc521923725 \h </w:instrText>
            </w:r>
            <w:r w:rsidR="004F2B5F">
              <w:rPr>
                <w:webHidden/>
              </w:rPr>
            </w:r>
            <w:r w:rsidR="004F2B5F">
              <w:rPr>
                <w:webHidden/>
              </w:rPr>
              <w:fldChar w:fldCharType="separate"/>
            </w:r>
            <w:r w:rsidR="005D4EE0">
              <w:rPr>
                <w:webHidden/>
              </w:rPr>
              <w:t>23</w:t>
            </w:r>
            <w:r w:rsidR="004F2B5F">
              <w:rPr>
                <w:webHidden/>
              </w:rPr>
              <w:fldChar w:fldCharType="end"/>
            </w:r>
          </w:hyperlink>
        </w:p>
        <w:p w:rsidR="004F2B5F" w:rsidRDefault="005F737B">
          <w:pPr>
            <w:pStyle w:val="TDC1"/>
            <w:rPr>
              <w:rFonts w:asciiTheme="minorHAnsi" w:eastAsiaTheme="minorEastAsia" w:hAnsiTheme="minorHAnsi"/>
              <w:b w:val="0"/>
              <w:sz w:val="22"/>
              <w:szCs w:val="22"/>
              <w:lang w:eastAsia="es-MX"/>
            </w:rPr>
          </w:pPr>
          <w:hyperlink w:anchor="_Toc521923726" w:history="1">
            <w:r w:rsidR="004F2B5F" w:rsidRPr="00F56AFC">
              <w:rPr>
                <w:rStyle w:val="Hipervnculo"/>
              </w:rPr>
              <w:t>VIII. Restricciones legítimas al derecho a la privacidad.</w:t>
            </w:r>
            <w:r w:rsidR="004F2B5F">
              <w:rPr>
                <w:webHidden/>
              </w:rPr>
              <w:tab/>
            </w:r>
            <w:r w:rsidR="004F2B5F">
              <w:rPr>
                <w:webHidden/>
              </w:rPr>
              <w:fldChar w:fldCharType="begin"/>
            </w:r>
            <w:r w:rsidR="004F2B5F">
              <w:rPr>
                <w:webHidden/>
              </w:rPr>
              <w:instrText xml:space="preserve"> PAGEREF _Toc521923726 \h </w:instrText>
            </w:r>
            <w:r w:rsidR="004F2B5F">
              <w:rPr>
                <w:webHidden/>
              </w:rPr>
            </w:r>
            <w:r w:rsidR="004F2B5F">
              <w:rPr>
                <w:webHidden/>
              </w:rPr>
              <w:fldChar w:fldCharType="separate"/>
            </w:r>
            <w:r w:rsidR="005D4EE0">
              <w:rPr>
                <w:webHidden/>
              </w:rPr>
              <w:t>25</w:t>
            </w:r>
            <w:r w:rsidR="004F2B5F">
              <w:rPr>
                <w:webHidden/>
              </w:rPr>
              <w:fldChar w:fldCharType="end"/>
            </w:r>
          </w:hyperlink>
        </w:p>
        <w:p w:rsidR="004F2B5F" w:rsidRDefault="005F737B">
          <w:pPr>
            <w:pStyle w:val="TDC1"/>
            <w:rPr>
              <w:rFonts w:asciiTheme="minorHAnsi" w:eastAsiaTheme="minorEastAsia" w:hAnsiTheme="minorHAnsi"/>
              <w:b w:val="0"/>
              <w:sz w:val="22"/>
              <w:szCs w:val="22"/>
              <w:lang w:eastAsia="es-MX"/>
            </w:rPr>
          </w:pPr>
          <w:hyperlink w:anchor="_Toc521923727" w:history="1">
            <w:r w:rsidR="004F2B5F" w:rsidRPr="00F56AFC">
              <w:rPr>
                <w:rStyle w:val="Hipervnculo"/>
                <w:rFonts w:eastAsia="Calibri"/>
              </w:rPr>
              <w:t>IX. Conclusión.</w:t>
            </w:r>
            <w:r w:rsidR="004F2B5F">
              <w:rPr>
                <w:webHidden/>
              </w:rPr>
              <w:tab/>
            </w:r>
            <w:r w:rsidR="004F2B5F">
              <w:rPr>
                <w:webHidden/>
              </w:rPr>
              <w:fldChar w:fldCharType="begin"/>
            </w:r>
            <w:r w:rsidR="004F2B5F">
              <w:rPr>
                <w:webHidden/>
              </w:rPr>
              <w:instrText xml:space="preserve"> PAGEREF _Toc521923727 \h </w:instrText>
            </w:r>
            <w:r w:rsidR="004F2B5F">
              <w:rPr>
                <w:webHidden/>
              </w:rPr>
            </w:r>
            <w:r w:rsidR="004F2B5F">
              <w:rPr>
                <w:webHidden/>
              </w:rPr>
              <w:fldChar w:fldCharType="separate"/>
            </w:r>
            <w:r w:rsidR="005D4EE0">
              <w:rPr>
                <w:webHidden/>
              </w:rPr>
              <w:t>28</w:t>
            </w:r>
            <w:r w:rsidR="004F2B5F">
              <w:rPr>
                <w:webHidden/>
              </w:rPr>
              <w:fldChar w:fldCharType="end"/>
            </w:r>
          </w:hyperlink>
        </w:p>
        <w:p w:rsidR="00E6179D" w:rsidRPr="005F3E96" w:rsidRDefault="00E6179D" w:rsidP="00B73B30">
          <w:pPr>
            <w:spacing w:line="360" w:lineRule="auto"/>
            <w:rPr>
              <w:rFonts w:ascii="Palatino Linotype" w:hAnsi="Palatino Linotype"/>
              <w:sz w:val="24"/>
              <w:szCs w:val="24"/>
            </w:rPr>
          </w:pPr>
          <w:r w:rsidRPr="005F3E96">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1923716"/>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A5179E">
        <w:rPr>
          <w:rFonts w:ascii="Palatino Linotype" w:eastAsia="Calibri" w:hAnsi="Palatino Linotype" w:cs="Arial"/>
          <w:sz w:val="24"/>
          <w:szCs w:val="24"/>
        </w:rPr>
        <w:t>Vigésima</w:t>
      </w:r>
      <w:r w:rsidR="00DB39B5">
        <w:rPr>
          <w:rFonts w:ascii="Palatino Linotype" w:eastAsia="Calibri" w:hAnsi="Palatino Linotype" w:cs="Arial"/>
          <w:sz w:val="24"/>
          <w:szCs w:val="24"/>
        </w:rPr>
        <w:t xml:space="preserve"> </w:t>
      </w:r>
      <w:r w:rsidR="002670D5">
        <w:rPr>
          <w:rFonts w:ascii="Palatino Linotype" w:eastAsia="Calibri" w:hAnsi="Palatino Linotype" w:cs="Arial"/>
          <w:sz w:val="24"/>
          <w:szCs w:val="24"/>
        </w:rPr>
        <w:t>Octava</w:t>
      </w:r>
      <w:r w:rsidR="00C9078E">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2670D5">
        <w:rPr>
          <w:rFonts w:ascii="Palatino Linotype" w:eastAsia="Calibri" w:hAnsi="Palatino Linotype" w:cs="Arial"/>
          <w:sz w:val="24"/>
          <w:szCs w:val="24"/>
        </w:rPr>
        <w:t>ocho</w:t>
      </w:r>
      <w:r w:rsidRPr="00427B79">
        <w:rPr>
          <w:rFonts w:ascii="Palatino Linotype" w:eastAsia="Calibri" w:hAnsi="Palatino Linotype" w:cs="Arial"/>
          <w:sz w:val="24"/>
          <w:szCs w:val="24"/>
        </w:rPr>
        <w:t xml:space="preserve"> (</w:t>
      </w:r>
      <w:r w:rsidR="006562FF">
        <w:rPr>
          <w:rFonts w:ascii="Palatino Linotype" w:eastAsia="Calibri" w:hAnsi="Palatino Linotype" w:cs="Arial"/>
          <w:sz w:val="24"/>
          <w:szCs w:val="24"/>
        </w:rPr>
        <w:t>0</w:t>
      </w:r>
      <w:r w:rsidR="002670D5">
        <w:rPr>
          <w:rFonts w:ascii="Palatino Linotype" w:eastAsia="Calibri" w:hAnsi="Palatino Linotype" w:cs="Arial"/>
          <w:sz w:val="24"/>
          <w:szCs w:val="24"/>
        </w:rPr>
        <w:t>8</w:t>
      </w:r>
      <w:r w:rsidRPr="00427B79">
        <w:rPr>
          <w:rFonts w:ascii="Palatino Linotype" w:eastAsia="Calibri" w:hAnsi="Palatino Linotype" w:cs="Arial"/>
          <w:sz w:val="24"/>
          <w:szCs w:val="24"/>
        </w:rPr>
        <w:t xml:space="preserve">) de </w:t>
      </w:r>
      <w:r w:rsidR="006562FF">
        <w:rPr>
          <w:rFonts w:ascii="Palatino Linotype" w:eastAsia="Calibri" w:hAnsi="Palatino Linotype" w:cs="Arial"/>
          <w:sz w:val="24"/>
          <w:szCs w:val="24"/>
        </w:rPr>
        <w:t>agosto</w:t>
      </w:r>
      <w:r w:rsidRPr="00427B79">
        <w:rPr>
          <w:rFonts w:ascii="Palatino Linotype" w:eastAsia="Calibri" w:hAnsi="Palatino Linotype" w:cs="Arial"/>
          <w:sz w:val="24"/>
          <w:szCs w:val="24"/>
        </w:rPr>
        <w:t xml:space="preserve"> 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por</w:t>
      </w:r>
      <w:r w:rsidR="00223548" w:rsidRPr="00772B4B">
        <w:rPr>
          <w:rFonts w:ascii="Palatino Linotype" w:hAnsi="Palatino Linotype" w:cs="Arial"/>
          <w:sz w:val="24"/>
          <w:szCs w:val="24"/>
        </w:rPr>
        <w:t xml:space="preserve"> </w:t>
      </w:r>
      <w:r w:rsidR="00026BEA">
        <w:rPr>
          <w:rFonts w:ascii="Palatino Linotype" w:eastAsiaTheme="minorEastAsia" w:hAnsi="Palatino Linotype" w:cs="Arial"/>
          <w:b/>
        </w:rPr>
        <w:t>xxxxx</w:t>
      </w:r>
      <w:bookmarkStart w:id="1" w:name="_GoBack"/>
      <w:bookmarkEnd w:id="1"/>
      <w:r w:rsidR="0018245A">
        <w:rPr>
          <w:rFonts w:ascii="Palatino Linotype" w:hAnsi="Palatino Linotype"/>
          <w:b/>
          <w:lang w:val="es-ES_tradnl"/>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w:t>
      </w:r>
      <w:r w:rsidR="002D7F6B">
        <w:rPr>
          <w:rFonts w:ascii="Palatino Linotype" w:eastAsia="Calibri" w:hAnsi="Palatino Linotype" w:cs="Arial"/>
          <w:sz w:val="24"/>
          <w:szCs w:val="24"/>
        </w:rPr>
        <w:t>s</w:t>
      </w:r>
      <w:r w:rsidR="003E0648">
        <w:rPr>
          <w:rFonts w:ascii="Palatino Linotype" w:eastAsia="Calibri" w:hAnsi="Palatino Linotype" w:cs="Arial"/>
          <w:sz w:val="24"/>
          <w:szCs w:val="24"/>
        </w:rPr>
        <w:t xml:space="preserve"> respuesta</w:t>
      </w:r>
      <w:r w:rsidR="002D7F6B">
        <w:rPr>
          <w:rFonts w:ascii="Palatino Linotype" w:eastAsia="Calibri" w:hAnsi="Palatino Linotype" w:cs="Arial"/>
          <w:sz w:val="24"/>
          <w:szCs w:val="24"/>
        </w:rPr>
        <w:t>s</w:t>
      </w:r>
      <w:r w:rsidR="003E0648">
        <w:rPr>
          <w:rFonts w:ascii="Palatino Linotype" w:eastAsia="Calibri" w:hAnsi="Palatino Linotype" w:cs="Arial"/>
          <w:sz w:val="24"/>
          <w:szCs w:val="24"/>
        </w:rPr>
        <w:t xml:space="preserve"> </w:t>
      </w:r>
      <w:r w:rsidR="003E0648" w:rsidRPr="00223548">
        <w:rPr>
          <w:rFonts w:ascii="Palatino Linotype" w:eastAsia="Calibri" w:hAnsi="Palatino Linotype" w:cs="Arial"/>
          <w:sz w:val="24"/>
          <w:szCs w:val="24"/>
        </w:rPr>
        <w:t>de</w:t>
      </w:r>
      <w:r w:rsidR="002670D5">
        <w:rPr>
          <w:rFonts w:ascii="Palatino Linotype" w:eastAsia="Calibri" w:hAnsi="Palatino Linotype" w:cs="Arial"/>
          <w:sz w:val="24"/>
          <w:szCs w:val="24"/>
        </w:rPr>
        <w:t xml:space="preserve"> </w:t>
      </w:r>
      <w:r w:rsidR="00D549C7">
        <w:rPr>
          <w:rFonts w:ascii="Palatino Linotype" w:eastAsia="Calibri" w:hAnsi="Palatino Linotype" w:cs="Arial"/>
          <w:sz w:val="24"/>
          <w:szCs w:val="24"/>
        </w:rPr>
        <w:t>l</w:t>
      </w:r>
      <w:r w:rsidR="002670D5">
        <w:rPr>
          <w:rFonts w:ascii="Palatino Linotype" w:eastAsia="Calibri" w:hAnsi="Palatino Linotype" w:cs="Arial"/>
          <w:sz w:val="24"/>
          <w:szCs w:val="24"/>
        </w:rPr>
        <w:t>a</w:t>
      </w:r>
      <w:r w:rsidR="00D549C7" w:rsidRPr="00D549C7">
        <w:rPr>
          <w:rFonts w:ascii="Palatino Linotype" w:eastAsiaTheme="minorEastAsia" w:hAnsi="Palatino Linotype" w:cs="Arial"/>
          <w:b/>
          <w:color w:val="C00000"/>
        </w:rPr>
        <w:t xml:space="preserve"> </w:t>
      </w:r>
      <w:r w:rsidR="002670D5">
        <w:rPr>
          <w:rFonts w:ascii="Palatino Linotype" w:eastAsiaTheme="minorEastAsia" w:hAnsi="Palatino Linotype" w:cs="Arial"/>
          <w:b/>
        </w:rPr>
        <w:t>Universidad Politécnica del Valle de Toluca</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21</w:t>
      </w:r>
      <w:r w:rsidR="00336B5F">
        <w:rPr>
          <w:rFonts w:ascii="Palatino Linotype" w:hAnsi="Palatino Linotype" w:cs="Arial"/>
          <w:b/>
          <w:bCs/>
          <w:sz w:val="23"/>
          <w:szCs w:val="23"/>
        </w:rPr>
        <w:t>56</w:t>
      </w:r>
      <w:r w:rsidR="00EF3EA6" w:rsidRPr="006D3D71">
        <w:rPr>
          <w:rFonts w:ascii="Palatino Linotype" w:hAnsi="Palatino Linotype" w:cs="Arial"/>
          <w:b/>
          <w:bCs/>
          <w:sz w:val="23"/>
          <w:szCs w:val="23"/>
        </w:rPr>
        <w:t>/INFOEM/IP/RR/2018</w:t>
      </w:r>
      <w:r w:rsidR="004F2B5F">
        <w:rPr>
          <w:rFonts w:ascii="Palatino Linotype" w:hAnsi="Palatino Linotype" w:cs="Arial"/>
          <w:b/>
          <w:bCs/>
          <w:sz w:val="23"/>
          <w:szCs w:val="23"/>
        </w:rPr>
        <w:t xml:space="preserve"> y acumulados. </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La resolución puntualmente determina </w:t>
      </w:r>
      <w:r w:rsidR="00C752C4">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B41044">
      <w:pPr>
        <w:pStyle w:val="Ttulo1"/>
        <w:numPr>
          <w:ilvl w:val="0"/>
          <w:numId w:val="2"/>
        </w:numPr>
        <w:ind w:left="0" w:firstLine="0"/>
        <w:rPr>
          <w:rFonts w:eastAsia="Calibri"/>
          <w:color w:val="auto"/>
          <w:szCs w:val="24"/>
          <w:lang w:val="es-ES"/>
        </w:rPr>
      </w:pPr>
      <w:bookmarkStart w:id="2" w:name="_Toc521923717"/>
      <w:r w:rsidRPr="00427B79">
        <w:rPr>
          <w:rFonts w:eastAsia="Calibri"/>
          <w:color w:val="auto"/>
          <w:szCs w:val="24"/>
          <w:lang w:val="es-ES"/>
        </w:rPr>
        <w:t>De los requerimientos planteados en el recurso de revisión.</w:t>
      </w:r>
      <w:bookmarkEnd w:id="2"/>
    </w:p>
    <w:p w:rsidR="004F2B5F" w:rsidRDefault="00E6179D" w:rsidP="00C752C4">
      <w:pPr>
        <w:spacing w:before="240" w:after="240" w:line="360" w:lineRule="auto"/>
        <w:ind w:left="851" w:right="902"/>
        <w:jc w:val="both"/>
        <w:rPr>
          <w:rFonts w:ascii="Palatino Linotype" w:eastAsia="Calibri" w:hAnsi="Palatino Linotype" w:cs="Times New Roman"/>
          <w:sz w:val="24"/>
          <w:szCs w:val="24"/>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C752C4" w:rsidRPr="00C752C4">
        <w:rPr>
          <w:rFonts w:ascii="Palatino Linotype" w:eastAsiaTheme="minorEastAsia" w:hAnsi="Palatino Linotype" w:cs="Arial"/>
          <w:b/>
        </w:rPr>
        <w:t xml:space="preserve"> </w:t>
      </w:r>
      <w:r w:rsidR="00336B5F">
        <w:rPr>
          <w:rFonts w:ascii="Palatino Linotype" w:eastAsiaTheme="minorEastAsia" w:hAnsi="Palatino Linotype" w:cs="Arial"/>
        </w:rPr>
        <w:t>la</w:t>
      </w:r>
      <w:r w:rsidR="00C752C4">
        <w:rPr>
          <w:rFonts w:ascii="Palatino Linotype" w:eastAsiaTheme="minorEastAsia" w:hAnsi="Palatino Linotype" w:cs="Arial"/>
          <w:b/>
        </w:rPr>
        <w:t xml:space="preserve"> </w:t>
      </w:r>
      <w:r w:rsidR="00336B5F">
        <w:rPr>
          <w:rFonts w:ascii="Palatino Linotype" w:eastAsiaTheme="minorEastAsia" w:hAnsi="Palatino Linotype" w:cs="Arial"/>
          <w:b/>
        </w:rPr>
        <w:t>Universidad Politécnica del Valle de Toluca</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4F2B5F">
        <w:rPr>
          <w:rFonts w:ascii="Palatino Linotype" w:eastAsia="Calibri" w:hAnsi="Palatino Linotype" w:cs="Times New Roman"/>
          <w:sz w:val="24"/>
          <w:szCs w:val="24"/>
        </w:rPr>
        <w:t xml:space="preserve">: </w:t>
      </w:r>
    </w:p>
    <w:p w:rsidR="004F2B5F" w:rsidRPr="004F2B5F" w:rsidRDefault="004F2B5F" w:rsidP="009A706C">
      <w:pPr>
        <w:spacing w:before="240" w:after="240" w:line="360" w:lineRule="auto"/>
        <w:ind w:left="143" w:firstLine="708"/>
        <w:jc w:val="both"/>
        <w:rPr>
          <w:rFonts w:ascii="Palatino Linotype" w:eastAsiaTheme="minorEastAsia" w:hAnsi="Palatino Linotype" w:cs="Arial"/>
          <w:b/>
        </w:rPr>
      </w:pPr>
      <w:r w:rsidRPr="004F2B5F">
        <w:rPr>
          <w:rFonts w:ascii="Palatino Linotype" w:eastAsiaTheme="minorEastAsia" w:hAnsi="Palatino Linotype" w:cs="Arial"/>
          <w:b/>
        </w:rPr>
        <w:t>Solicitud 00190/UPVT/IP/2018</w:t>
      </w:r>
    </w:p>
    <w:p w:rsidR="009A706C" w:rsidRDefault="004F2B5F" w:rsidP="009A706C">
      <w:pPr>
        <w:spacing w:before="240" w:after="240" w:line="360" w:lineRule="auto"/>
        <w:ind w:left="851" w:right="900"/>
        <w:jc w:val="both"/>
        <w:rPr>
          <w:rFonts w:ascii="Palatino Linotype" w:hAnsi="Palatino Linotype"/>
          <w:sz w:val="16"/>
          <w:szCs w:val="16"/>
        </w:rPr>
      </w:pPr>
      <w:r w:rsidRPr="004F2B5F">
        <w:rPr>
          <w:rFonts w:ascii="Palatino Linotype" w:hAnsi="Palatino Linotype"/>
          <w:i/>
        </w:rPr>
        <w:t>“Listado de profesores de tiempo completo de cada división, con el grado académico que los sustenta y la evidencia de su cedula profesional que los faculta.”</w:t>
      </w:r>
      <w:r w:rsidRPr="004F2B5F">
        <w:rPr>
          <w:rFonts w:ascii="Palatino Linotype" w:hAnsi="Palatino Linotype"/>
          <w:sz w:val="16"/>
          <w:szCs w:val="16"/>
        </w:rPr>
        <w:t>(sic)</w:t>
      </w:r>
    </w:p>
    <w:p w:rsidR="004F2B5F" w:rsidRPr="004F2B5F" w:rsidRDefault="004F2B5F" w:rsidP="009A706C">
      <w:pPr>
        <w:spacing w:before="240" w:after="240" w:line="360" w:lineRule="auto"/>
        <w:ind w:left="851" w:right="900"/>
        <w:jc w:val="both"/>
        <w:rPr>
          <w:rFonts w:ascii="Palatino Linotype" w:hAnsi="Palatino Linotype" w:cs="Arial"/>
          <w:b/>
        </w:rPr>
      </w:pPr>
      <w:r w:rsidRPr="004F2B5F">
        <w:rPr>
          <w:rFonts w:ascii="Palatino Linotype" w:eastAsiaTheme="minorEastAsia" w:hAnsi="Palatino Linotype" w:cs="Arial"/>
          <w:b/>
        </w:rPr>
        <w:lastRenderedPageBreak/>
        <w:t>Solicitud 02230/UPVT/IP/2018, 02231/UPVT/IP/2018 y 02232/UPVT/IP/2018</w:t>
      </w:r>
    </w:p>
    <w:p w:rsidR="00EF3EA6" w:rsidRDefault="004F2B5F" w:rsidP="004F2B5F">
      <w:pPr>
        <w:spacing w:before="240" w:after="240" w:line="360" w:lineRule="auto"/>
        <w:ind w:left="851" w:right="902"/>
        <w:jc w:val="both"/>
        <w:rPr>
          <w:rFonts w:ascii="Palatino Linotype" w:hAnsi="Palatino Linotype" w:cs="Arial"/>
          <w:b/>
        </w:rPr>
      </w:pPr>
      <w:r w:rsidRPr="004F2B5F">
        <w:rPr>
          <w:rFonts w:ascii="Palatino Linotype" w:eastAsiaTheme="minorEastAsia" w:hAnsi="Palatino Linotype" w:cs="Arial"/>
          <w:i/>
        </w:rPr>
        <w:t>“</w:t>
      </w:r>
      <w:r w:rsidRPr="004F2B5F">
        <w:rPr>
          <w:rFonts w:ascii="Palatino Linotype" w:hAnsi="Palatino Linotype"/>
          <w:i/>
        </w:rPr>
        <w:t>Histórico de profesores de tiempo completo de la licenciatura en negocios internacionales, de la ingeniería en biotecnología y de la ingeniería en informática desglosados por cuatrimestres</w:t>
      </w:r>
      <w:r w:rsidRPr="004F2B5F">
        <w:rPr>
          <w:rFonts w:ascii="Palatino Linotype" w:hAnsi="Palatino Linotype"/>
          <w:i/>
          <w:lang w:val="es-ES_tradnl"/>
        </w:rPr>
        <w:t>”</w:t>
      </w:r>
      <w:r w:rsidRPr="004F2B5F">
        <w:rPr>
          <w:rFonts w:ascii="Palatino Linotype" w:hAnsi="Palatino Linotype" w:cs="Arial"/>
          <w:i/>
          <w:sz w:val="20"/>
        </w:rPr>
        <w:t>(sic)</w:t>
      </w:r>
      <w:r w:rsidR="00EF3EA6" w:rsidRPr="004F2B5F">
        <w:rPr>
          <w:rFonts w:ascii="Palatino Linotype" w:hAnsi="Palatino Linotype" w:cs="Arial"/>
          <w:b/>
        </w:rPr>
        <w:t xml:space="preserve"> </w:t>
      </w:r>
    </w:p>
    <w:p w:rsidR="00E6179D" w:rsidRDefault="00E6179D" w:rsidP="00B57FAA">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t xml:space="preserve">Bajo esas consideraciones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verificar si existe fu</w:t>
      </w:r>
      <w:r w:rsidR="003E0648" w:rsidRPr="00B57FAA">
        <w:rPr>
          <w:rFonts w:ascii="Palatino Linotype" w:eastAsia="Calibri" w:hAnsi="Palatino Linotype" w:cs="Arial"/>
          <w:sz w:val="24"/>
          <w:szCs w:val="24"/>
        </w:rPr>
        <w:t>ente obligacional por parte de</w:t>
      </w:r>
      <w:r w:rsidR="00336B5F">
        <w:rPr>
          <w:rFonts w:ascii="Palatino Linotype" w:eastAsia="Calibri" w:hAnsi="Palatino Linotype" w:cs="Arial"/>
          <w:sz w:val="24"/>
          <w:szCs w:val="24"/>
        </w:rPr>
        <w:t xml:space="preserve"> </w:t>
      </w:r>
      <w:r w:rsidR="00C752C4">
        <w:rPr>
          <w:rFonts w:ascii="Palatino Linotype" w:eastAsia="Calibri" w:hAnsi="Palatino Linotype" w:cs="Arial"/>
          <w:sz w:val="24"/>
          <w:szCs w:val="24"/>
        </w:rPr>
        <w:t>l</w:t>
      </w:r>
      <w:r w:rsidR="00336B5F">
        <w:rPr>
          <w:rFonts w:ascii="Palatino Linotype" w:eastAsia="Calibri" w:hAnsi="Palatino Linotype" w:cs="Arial"/>
          <w:sz w:val="24"/>
          <w:szCs w:val="24"/>
        </w:rPr>
        <w:t>a</w:t>
      </w:r>
      <w:r w:rsidR="00C752C4" w:rsidRPr="00C752C4">
        <w:rPr>
          <w:rFonts w:ascii="Palatino Linotype" w:eastAsiaTheme="minorEastAsia" w:hAnsi="Palatino Linotype" w:cs="Arial"/>
          <w:b/>
        </w:rPr>
        <w:t xml:space="preserve"> </w:t>
      </w:r>
      <w:r w:rsidR="00336B5F">
        <w:rPr>
          <w:rFonts w:ascii="Palatino Linotype" w:eastAsiaTheme="minorEastAsia" w:hAnsi="Palatino Linotype" w:cs="Arial"/>
          <w:b/>
        </w:rPr>
        <w:t>Universidad Politécnica del Valle de Toluca</w:t>
      </w:r>
      <w:r w:rsidR="0047567F">
        <w:rPr>
          <w:rFonts w:ascii="Palatino Linotype" w:eastAsiaTheme="minorEastAsia" w:hAnsi="Palatino Linotype" w:cs="Arial"/>
          <w:b/>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9A706C" w:rsidRPr="00C752C4" w:rsidRDefault="009A706C" w:rsidP="009A706C">
      <w:pPr>
        <w:pStyle w:val="Prrafodelista"/>
        <w:spacing w:line="360" w:lineRule="auto"/>
        <w:ind w:left="0" w:right="49"/>
        <w:jc w:val="both"/>
        <w:rPr>
          <w:rFonts w:ascii="Palatino Linotype" w:eastAsia="Calibri" w:hAnsi="Palatino Linotype" w:cs="Arial"/>
          <w:sz w:val="24"/>
          <w:szCs w:val="24"/>
        </w:rPr>
      </w:pPr>
    </w:p>
    <w:p w:rsidR="00480F5B" w:rsidRPr="00387F6B" w:rsidRDefault="00480F5B" w:rsidP="00387F6B">
      <w:pPr>
        <w:pStyle w:val="Prrafodelista"/>
        <w:numPr>
          <w:ilvl w:val="0"/>
          <w:numId w:val="1"/>
        </w:numPr>
        <w:spacing w:after="0" w:line="360" w:lineRule="auto"/>
        <w:ind w:left="0" w:firstLine="0"/>
        <w:jc w:val="both"/>
        <w:rPr>
          <w:rFonts w:ascii="Palatino Linotype" w:hAnsi="Palatino Linotype" w:cs="Arial"/>
          <w:i/>
          <w:sz w:val="24"/>
          <w:szCs w:val="24"/>
        </w:rPr>
      </w:pPr>
      <w:r w:rsidRPr="00387F6B">
        <w:rPr>
          <w:rFonts w:ascii="Palatino Linotype" w:eastAsia="Calibri" w:hAnsi="Palatino Linotype" w:cs="Arial"/>
          <w:sz w:val="24"/>
          <w:szCs w:val="24"/>
        </w:rPr>
        <w:t xml:space="preserve">Por lo que respecta al análisis que realizó el ponente </w:t>
      </w:r>
      <w:r w:rsidRPr="00387F6B">
        <w:rPr>
          <w:rFonts w:ascii="Palatino Linotype" w:hAnsi="Palatino Linotype" w:cs="Arial"/>
          <w:sz w:val="24"/>
          <w:szCs w:val="24"/>
        </w:rPr>
        <w:t xml:space="preserve">se observó que el </w:t>
      </w:r>
      <w:r w:rsidRPr="00387F6B">
        <w:rPr>
          <w:rFonts w:ascii="Palatino Linotype" w:hAnsi="Palatino Linotype" w:cs="Arial"/>
          <w:b/>
          <w:sz w:val="24"/>
          <w:szCs w:val="24"/>
        </w:rPr>
        <w:t xml:space="preserve">SUJETO OBLIGADO </w:t>
      </w:r>
      <w:r w:rsidRPr="00387F6B">
        <w:rPr>
          <w:rFonts w:ascii="Palatino Linotype" w:hAnsi="Palatino Linotype" w:cs="Arial"/>
          <w:sz w:val="24"/>
          <w:szCs w:val="24"/>
        </w:rPr>
        <w:t>no colmó la solicitud de información por parte del solicitante, por lo que se</w:t>
      </w:r>
      <w:r w:rsidRPr="00387F6B">
        <w:rPr>
          <w:rFonts w:ascii="Palatino Linotype" w:hAnsi="Palatino Linotype" w:cs="Arial"/>
          <w:b/>
          <w:sz w:val="24"/>
          <w:szCs w:val="24"/>
        </w:rPr>
        <w:t xml:space="preserve"> ORDENA </w:t>
      </w:r>
      <w:r w:rsidR="00223548" w:rsidRPr="00387F6B">
        <w:rPr>
          <w:rFonts w:ascii="Palatino Linotype" w:hAnsi="Palatino Linotype" w:cs="Arial"/>
          <w:sz w:val="24"/>
          <w:szCs w:val="24"/>
        </w:rPr>
        <w:t>a</w:t>
      </w:r>
      <w:r w:rsidR="00336B5F">
        <w:rPr>
          <w:rFonts w:ascii="Palatino Linotype" w:hAnsi="Palatino Linotype" w:cs="Arial"/>
          <w:sz w:val="24"/>
          <w:szCs w:val="24"/>
        </w:rPr>
        <w:t xml:space="preserve"> </w:t>
      </w:r>
      <w:r w:rsidR="00C752C4" w:rsidRPr="00387F6B">
        <w:rPr>
          <w:rFonts w:ascii="Palatino Linotype" w:hAnsi="Palatino Linotype" w:cs="Arial"/>
          <w:sz w:val="24"/>
          <w:szCs w:val="24"/>
        </w:rPr>
        <w:t>l</w:t>
      </w:r>
      <w:r w:rsidR="00336B5F">
        <w:rPr>
          <w:rFonts w:ascii="Palatino Linotype" w:hAnsi="Palatino Linotype" w:cs="Arial"/>
          <w:sz w:val="24"/>
          <w:szCs w:val="24"/>
        </w:rPr>
        <w:t>a</w:t>
      </w:r>
      <w:r w:rsidR="00C752C4" w:rsidRPr="00387F6B">
        <w:rPr>
          <w:rFonts w:ascii="Palatino Linotype" w:eastAsiaTheme="minorEastAsia" w:hAnsi="Palatino Linotype" w:cs="Arial"/>
          <w:b/>
        </w:rPr>
        <w:t xml:space="preserve"> </w:t>
      </w:r>
      <w:r w:rsidR="00336B5F">
        <w:rPr>
          <w:rFonts w:ascii="Palatino Linotype" w:eastAsiaTheme="minorEastAsia" w:hAnsi="Palatino Linotype" w:cs="Arial"/>
          <w:b/>
        </w:rPr>
        <w:t>Universidad Politécnica del Valle de Toluca</w:t>
      </w:r>
      <w:r w:rsidR="00223548" w:rsidRPr="00387F6B">
        <w:rPr>
          <w:rFonts w:ascii="Palatino Linotype" w:hAnsi="Palatino Linotype" w:cs="Arial"/>
          <w:b/>
          <w:sz w:val="24"/>
          <w:szCs w:val="24"/>
        </w:rPr>
        <w:t xml:space="preserve">, </w:t>
      </w:r>
      <w:r w:rsidR="00D36317" w:rsidRPr="00387F6B">
        <w:rPr>
          <w:rFonts w:ascii="Palatino Linotype" w:hAnsi="Palatino Linotype" w:cs="Arial"/>
          <w:sz w:val="24"/>
          <w:szCs w:val="24"/>
        </w:rPr>
        <w:t xml:space="preserve">  </w:t>
      </w:r>
      <w:r w:rsidRPr="00387F6B">
        <w:rPr>
          <w:rFonts w:ascii="Palatino Linotype" w:hAnsi="Palatino Linotype" w:cs="Arial"/>
          <w:sz w:val="24"/>
          <w:szCs w:val="24"/>
        </w:rPr>
        <w:t xml:space="preserve">haga entrega vía </w:t>
      </w:r>
      <w:r w:rsidRPr="00387F6B">
        <w:rPr>
          <w:rFonts w:ascii="Palatino Linotype" w:hAnsi="Palatino Linotype" w:cs="Arial"/>
          <w:b/>
          <w:sz w:val="24"/>
          <w:szCs w:val="24"/>
        </w:rPr>
        <w:t xml:space="preserve">SAIMEX </w:t>
      </w:r>
      <w:r w:rsidRPr="00387F6B">
        <w:rPr>
          <w:rFonts w:ascii="Palatino Linotype" w:hAnsi="Palatino Linotype" w:cs="Arial"/>
          <w:sz w:val="24"/>
          <w:szCs w:val="24"/>
        </w:rPr>
        <w:t>de</w:t>
      </w:r>
      <w:r w:rsidRPr="00387F6B">
        <w:rPr>
          <w:rFonts w:ascii="Palatino Linotype" w:hAnsi="Palatino Linotype" w:cs="Arial"/>
          <w:b/>
          <w:sz w:val="24"/>
          <w:szCs w:val="24"/>
        </w:rPr>
        <w:t>:</w:t>
      </w:r>
    </w:p>
    <w:p w:rsidR="00336B5F" w:rsidRPr="00336B5F" w:rsidRDefault="00336B5F" w:rsidP="00336B5F">
      <w:pPr>
        <w:spacing w:after="0" w:line="360" w:lineRule="auto"/>
        <w:ind w:left="567"/>
        <w:contextualSpacing/>
        <w:jc w:val="both"/>
        <w:rPr>
          <w:rFonts w:ascii="Palatino Linotype" w:hAnsi="Palatino Linotype" w:cs="Arial"/>
          <w:i/>
          <w:sz w:val="24"/>
          <w:szCs w:val="24"/>
        </w:rPr>
      </w:pPr>
      <w:r w:rsidRPr="00336B5F">
        <w:rPr>
          <w:rFonts w:ascii="Palatino Linotype" w:hAnsi="Palatino Linotype" w:cs="Arial"/>
          <w:i/>
          <w:sz w:val="24"/>
          <w:szCs w:val="24"/>
        </w:rPr>
        <w:t>a.</w:t>
      </w:r>
      <w:r w:rsidRPr="00336B5F">
        <w:rPr>
          <w:rFonts w:ascii="Palatino Linotype" w:hAnsi="Palatino Linotype" w:cs="Arial"/>
          <w:i/>
          <w:sz w:val="24"/>
          <w:szCs w:val="24"/>
        </w:rPr>
        <w:tab/>
        <w:t>Cédulas Profesionales faltantes e ilegibles de los Profesores de tiempo completo de cada División.</w:t>
      </w:r>
    </w:p>
    <w:p w:rsidR="0032240B"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1189B">
        <w:rPr>
          <w:rFonts w:ascii="Palatino Linotype" w:eastAsia="Times New Roman" w:hAnsi="Palatino Linotype" w:cs="Arial"/>
          <w:sz w:val="24"/>
        </w:rPr>
        <w:t>:</w:t>
      </w:r>
    </w:p>
    <w:p w:rsidR="00E15203" w:rsidRDefault="00E15203" w:rsidP="002E691F">
      <w:pPr>
        <w:pStyle w:val="Prrafodelista"/>
        <w:spacing w:before="240" w:after="240" w:line="360" w:lineRule="auto"/>
        <w:ind w:right="49"/>
        <w:jc w:val="both"/>
        <w:rPr>
          <w:rFonts w:ascii="Palatino Linotype" w:eastAsia="Times New Roman" w:hAnsi="Palatino Linotype" w:cs="Arial"/>
          <w:i/>
          <w:sz w:val="24"/>
        </w:rPr>
      </w:pPr>
    </w:p>
    <w:p w:rsidR="003D41BA" w:rsidRDefault="00336B5F" w:rsidP="00E15203">
      <w:pPr>
        <w:pStyle w:val="Prrafodelista"/>
        <w:spacing w:before="240" w:after="240" w:line="360" w:lineRule="auto"/>
        <w:ind w:left="0" w:right="49"/>
        <w:jc w:val="both"/>
        <w:rPr>
          <w:rFonts w:ascii="Palatino Linotype" w:eastAsia="Times New Roman" w:hAnsi="Palatino Linotype" w:cs="Arial"/>
          <w:i/>
          <w:sz w:val="24"/>
        </w:rPr>
      </w:pPr>
      <w:r w:rsidRPr="00336B5F">
        <w:rPr>
          <w:rFonts w:ascii="Palatino Linotype" w:eastAsia="Times New Roman" w:hAnsi="Palatino Linotype" w:cs="Arial"/>
          <w:i/>
          <w:sz w:val="24"/>
        </w:rPr>
        <w:lastRenderedPageBreak/>
        <w:t>En caso de que no genere, posea o administre la información FALTANTE ordenada, bastará con el sólo pronunciamiento del Sujeto Obligado para tener por colmado el requerimiento, mismo que deberá ser hecho del conocimiento de la particular.</w:t>
      </w:r>
      <w:r w:rsidR="00E15203" w:rsidRPr="00E15203">
        <w:rPr>
          <w:rFonts w:ascii="Palatino Linotype" w:eastAsia="Times New Roman" w:hAnsi="Palatino Linotype" w:cs="Arial"/>
          <w:i/>
          <w:sz w:val="24"/>
        </w:rPr>
        <w:t>.</w:t>
      </w:r>
    </w:p>
    <w:p w:rsidR="00E15203" w:rsidRPr="00434E1A" w:rsidRDefault="00E15203" w:rsidP="002E691F">
      <w:pPr>
        <w:pStyle w:val="Prrafodelista"/>
        <w:spacing w:before="240" w:after="240" w:line="360" w:lineRule="auto"/>
        <w:ind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9A706C" w:rsidRDefault="009A706C" w:rsidP="0003648B">
      <w:pPr>
        <w:pStyle w:val="Ttulo2"/>
        <w:rPr>
          <w:b/>
          <w:szCs w:val="24"/>
        </w:rPr>
      </w:pPr>
      <w:bookmarkStart w:id="3" w:name="_Toc469919070"/>
      <w:bookmarkStart w:id="4" w:name="_Toc521923718"/>
    </w:p>
    <w:p w:rsidR="0003648B" w:rsidRPr="00427B79" w:rsidRDefault="0003648B" w:rsidP="0003648B">
      <w:pPr>
        <w:pStyle w:val="Ttulo2"/>
        <w:rPr>
          <w:b/>
          <w:szCs w:val="24"/>
        </w:rPr>
      </w:pPr>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9A706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1923719"/>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lastRenderedPageBreak/>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9A706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9A706C" w:rsidRPr="0083488C" w:rsidRDefault="009A706C" w:rsidP="009A706C">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21687C" w:rsidRDefault="00CD53CB" w:rsidP="00CD53CB">
      <w:pPr>
        <w:pStyle w:val="Ttulo1"/>
        <w:rPr>
          <w:rFonts w:eastAsia="Calibri"/>
          <w:color w:val="auto"/>
          <w:szCs w:val="24"/>
        </w:rPr>
      </w:pPr>
      <w:bookmarkStart w:id="6" w:name="_Toc521923720"/>
      <w:r>
        <w:rPr>
          <w:rFonts w:eastAsia="Calibri"/>
          <w:color w:val="auto"/>
          <w:szCs w:val="24"/>
        </w:rPr>
        <w:t xml:space="preserve">V. </w:t>
      </w:r>
      <w:r w:rsidR="0021687C">
        <w:rPr>
          <w:rFonts w:eastAsia="Calibri"/>
          <w:color w:val="auto"/>
          <w:szCs w:val="24"/>
        </w:rPr>
        <w:t>La naturaleza de la Cédula Profesional</w:t>
      </w:r>
      <w:bookmarkEnd w:id="6"/>
    </w:p>
    <w:p w:rsidR="0021687C" w:rsidRDefault="0021687C" w:rsidP="0021687C"/>
    <w:p w:rsidR="0021687C"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1C3008">
        <w:rPr>
          <w:rFonts w:ascii="Palatino Linotype" w:hAnsi="Palatino Linotype" w:cs="Arial"/>
          <w:sz w:val="24"/>
          <w:szCs w:val="24"/>
        </w:rPr>
        <w:t xml:space="preserve">La Cédula Profesional es el documento por medio del cual se autoriza oficialmente a una persona a ejercer su profesión,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segundo amplía este supuesto jurídico a </w:t>
      </w:r>
      <w:r w:rsidRPr="001C3008">
        <w:rPr>
          <w:rFonts w:ascii="Palatino Linotype" w:hAnsi="Palatino Linotype" w:cs="Arial"/>
          <w:sz w:val="24"/>
          <w:szCs w:val="24"/>
        </w:rPr>
        <w:lastRenderedPageBreak/>
        <w:t>otras leyes que regulen campos de acción relacionados como alguna rama o especialidad profesional. Mientras que el artículo 23 fracción IV de la referida ley reglamentaria del artículo quinto constitucional, faculta a la Dirección General de Profesiones para expedir la cédula profesional correspondiente, con efectos de patente para el ejercicio profesional y para la identidad de su titular en todas sus actividades profesionales.</w:t>
      </w:r>
    </w:p>
    <w:p w:rsidR="0021687C" w:rsidRPr="001C3008" w:rsidRDefault="0021687C" w:rsidP="0021687C">
      <w:pPr>
        <w:pStyle w:val="Prrafodelista"/>
        <w:spacing w:after="0" w:line="360" w:lineRule="auto"/>
        <w:ind w:left="0"/>
        <w:jc w:val="both"/>
        <w:rPr>
          <w:rFonts w:ascii="Palatino Linotype" w:hAnsi="Palatino Linotype" w:cs="Arial"/>
          <w:sz w:val="24"/>
          <w:szCs w:val="24"/>
        </w:rPr>
      </w:pPr>
    </w:p>
    <w:p w:rsidR="0021687C" w:rsidRPr="009A706C" w:rsidRDefault="0021687C" w:rsidP="005B3DE6">
      <w:pPr>
        <w:numPr>
          <w:ilvl w:val="0"/>
          <w:numId w:val="1"/>
        </w:numPr>
        <w:spacing w:after="0" w:line="360" w:lineRule="auto"/>
        <w:ind w:left="0" w:firstLine="0"/>
        <w:contextualSpacing/>
        <w:jc w:val="both"/>
        <w:rPr>
          <w:rFonts w:ascii="Palatino Linotype" w:hAnsi="Palatino Linotype" w:cs="Arial"/>
          <w:sz w:val="24"/>
          <w:szCs w:val="24"/>
        </w:rPr>
      </w:pPr>
      <w:r w:rsidRPr="009A706C">
        <w:rPr>
          <w:rFonts w:ascii="Palatino Linotype" w:hAnsi="Palatino Linotype" w:cs="Arial"/>
          <w:sz w:val="24"/>
          <w:szCs w:val="24"/>
        </w:rPr>
        <w:t>En este sentido, el artículo 32 de la ley señalada establece que la cédula tiene “efectos de patente para el ejercicio profesional y para su identidad en sus actividades profesionales. En esta cédula aparecerá el retrato y la firma del profesionista”. Por lo que constituyen parte de ese documento, los siguientes elementos: el nombre, indispensable para determinar la identificación personal; la profesión, que consiste en la actividad a ejercer; el número que corresponde a la patente de ejercicio profesional; y, la fotografía como elemento indispensable de identidad de quien la presenta.</w:t>
      </w:r>
    </w:p>
    <w:p w:rsidR="0021687C" w:rsidRPr="00E5688B" w:rsidRDefault="004F2B5F" w:rsidP="0021687C">
      <w:pPr>
        <w:pStyle w:val="Ttulo1"/>
        <w:rPr>
          <w:rFonts w:cs="Arial"/>
          <w:b w:val="0"/>
          <w:szCs w:val="24"/>
        </w:rPr>
      </w:pPr>
      <w:bookmarkStart w:id="7" w:name="_Toc464749290"/>
      <w:bookmarkStart w:id="8" w:name="_Toc521923721"/>
      <w:r>
        <w:rPr>
          <w:rStyle w:val="Ttulo1Car"/>
          <w:b/>
        </w:rPr>
        <w:t>V</w:t>
      </w:r>
      <w:r w:rsidR="0021687C" w:rsidRPr="00E5688B">
        <w:rPr>
          <w:rStyle w:val="Ttulo1Car"/>
          <w:b/>
        </w:rPr>
        <w:t>I. La naturaleza de la función pública que se desempeña</w:t>
      </w:r>
      <w:r w:rsidR="0021687C" w:rsidRPr="00E5688B">
        <w:rPr>
          <w:rFonts w:cs="Arial"/>
          <w:b w:val="0"/>
          <w:szCs w:val="24"/>
        </w:rPr>
        <w:t>.</w:t>
      </w:r>
      <w:bookmarkEnd w:id="7"/>
      <w:bookmarkEnd w:id="8"/>
    </w:p>
    <w:p w:rsidR="0021687C" w:rsidRPr="001C3008" w:rsidRDefault="0021687C" w:rsidP="0021687C">
      <w:pPr>
        <w:pStyle w:val="Prrafodelista"/>
        <w:spacing w:after="0" w:line="360" w:lineRule="auto"/>
        <w:ind w:left="0"/>
        <w:jc w:val="both"/>
        <w:rPr>
          <w:rFonts w:ascii="Palatino Linotype" w:hAnsi="Palatino Linotype" w:cs="Arial"/>
          <w:i/>
          <w:sz w:val="24"/>
          <w:szCs w:val="24"/>
        </w:rPr>
      </w:pPr>
    </w:p>
    <w:p w:rsidR="0021687C"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1C3008">
        <w:rPr>
          <w:rFonts w:ascii="Palatino Linotype" w:hAnsi="Palatino Linotype" w:cs="Arial"/>
          <w:sz w:val="24"/>
          <w:szCs w:val="24"/>
        </w:rPr>
        <w:t>En el ca</w:t>
      </w:r>
      <w:r w:rsidRPr="00A34F66">
        <w:rPr>
          <w:rFonts w:ascii="Palatino Linotype" w:hAnsi="Palatino Linotype" w:cs="Arial"/>
          <w:sz w:val="24"/>
          <w:szCs w:val="24"/>
        </w:rPr>
        <w:t xml:space="preserve">so en estudio, el </w:t>
      </w:r>
      <w:r>
        <w:rPr>
          <w:rFonts w:ascii="Palatino Linotype" w:hAnsi="Palatino Linotype" w:cs="Arial"/>
          <w:sz w:val="24"/>
          <w:szCs w:val="24"/>
        </w:rPr>
        <w:t>solicitante</w:t>
      </w:r>
      <w:r>
        <w:rPr>
          <w:rFonts w:ascii="Palatino Linotype" w:hAnsi="Palatino Linotype"/>
          <w:b/>
        </w:rPr>
        <w:t xml:space="preserve"> </w:t>
      </w:r>
      <w:r w:rsidRPr="0089626C">
        <w:rPr>
          <w:rFonts w:ascii="Palatino Linotype" w:hAnsi="Palatino Linotype" w:cs="Arial"/>
          <w:sz w:val="24"/>
          <w:szCs w:val="24"/>
        </w:rPr>
        <w:t xml:space="preserve"> </w:t>
      </w:r>
      <w:r w:rsidRPr="00F27C11">
        <w:rPr>
          <w:rFonts w:ascii="Palatino Linotype" w:hAnsi="Palatino Linotype" w:cs="Arial"/>
          <w:sz w:val="24"/>
          <w:szCs w:val="24"/>
        </w:rPr>
        <w:t>requirió</w:t>
      </w:r>
      <w:r>
        <w:rPr>
          <w:rFonts w:ascii="Palatino Linotype" w:hAnsi="Palatino Linotype" w:cs="Arial"/>
          <w:sz w:val="24"/>
          <w:szCs w:val="24"/>
        </w:rPr>
        <w:t xml:space="preserve"> en cada solicitud lo siguiente:  </w:t>
      </w:r>
    </w:p>
    <w:p w:rsidR="0021687C" w:rsidRPr="0021687C" w:rsidRDefault="0021687C" w:rsidP="0021687C">
      <w:pPr>
        <w:pStyle w:val="Prrafodelista"/>
        <w:spacing w:before="240" w:after="240" w:line="360" w:lineRule="auto"/>
        <w:ind w:left="360"/>
        <w:jc w:val="both"/>
        <w:rPr>
          <w:rFonts w:ascii="Palatino Linotype" w:eastAsiaTheme="minorEastAsia" w:hAnsi="Palatino Linotype" w:cs="Arial"/>
          <w:b/>
        </w:rPr>
      </w:pPr>
      <w:r w:rsidRPr="0021687C">
        <w:rPr>
          <w:rFonts w:ascii="Palatino Linotype" w:eastAsiaTheme="minorEastAsia" w:hAnsi="Palatino Linotype" w:cs="Arial"/>
          <w:b/>
        </w:rPr>
        <w:t>Solicitud 00190/UPVT/IP/2018</w:t>
      </w:r>
    </w:p>
    <w:p w:rsidR="0021687C" w:rsidRDefault="0021687C" w:rsidP="0021687C">
      <w:pPr>
        <w:pStyle w:val="Prrafodelista"/>
        <w:spacing w:before="240" w:after="240" w:line="360" w:lineRule="auto"/>
        <w:ind w:left="360" w:right="900"/>
        <w:jc w:val="both"/>
        <w:rPr>
          <w:rFonts w:ascii="Palatino Linotype" w:hAnsi="Palatino Linotype"/>
        </w:rPr>
      </w:pPr>
      <w:r w:rsidRPr="0021687C">
        <w:rPr>
          <w:rFonts w:ascii="Palatino Linotype" w:hAnsi="Palatino Linotype"/>
          <w:i/>
        </w:rPr>
        <w:t>“Listado de profesores de tiempo completo de cada división, con el grado académico que los sustenta y la evidencia de su cedula profesional que los faculta.”</w:t>
      </w:r>
      <w:r w:rsidRPr="0021687C">
        <w:rPr>
          <w:rFonts w:ascii="Palatino Linotype" w:hAnsi="Palatino Linotype"/>
        </w:rPr>
        <w:t>(sic)</w:t>
      </w:r>
    </w:p>
    <w:p w:rsidR="0021687C" w:rsidRPr="0021687C" w:rsidRDefault="0021687C" w:rsidP="0021687C">
      <w:pPr>
        <w:pStyle w:val="Prrafodelista"/>
        <w:spacing w:before="240" w:after="240" w:line="360" w:lineRule="auto"/>
        <w:ind w:left="360" w:right="900"/>
        <w:jc w:val="both"/>
        <w:rPr>
          <w:rFonts w:ascii="Palatino Linotype" w:eastAsiaTheme="minorEastAsia" w:hAnsi="Palatino Linotype" w:cs="Arial"/>
          <w:b/>
        </w:rPr>
      </w:pPr>
    </w:p>
    <w:p w:rsidR="0021687C" w:rsidRPr="0021687C" w:rsidRDefault="0021687C" w:rsidP="0021687C">
      <w:pPr>
        <w:pStyle w:val="Prrafodelista"/>
        <w:spacing w:before="240" w:after="240" w:line="360" w:lineRule="auto"/>
        <w:ind w:left="360"/>
        <w:jc w:val="both"/>
        <w:rPr>
          <w:rFonts w:ascii="Palatino Linotype" w:hAnsi="Palatino Linotype" w:cs="Arial"/>
          <w:b/>
        </w:rPr>
      </w:pPr>
      <w:r w:rsidRPr="0021687C">
        <w:rPr>
          <w:rFonts w:ascii="Palatino Linotype" w:eastAsiaTheme="minorEastAsia" w:hAnsi="Palatino Linotype" w:cs="Arial"/>
          <w:b/>
        </w:rPr>
        <w:lastRenderedPageBreak/>
        <w:t>Solicitud 02230/UPVT/IP/2018, 02231/UPVT/IP/2018 y 02232/UPVT/IP/2018</w:t>
      </w:r>
    </w:p>
    <w:p w:rsidR="0021687C" w:rsidRPr="0021687C" w:rsidRDefault="0021687C" w:rsidP="0021687C">
      <w:pPr>
        <w:pStyle w:val="Prrafodelista"/>
        <w:spacing w:before="240" w:after="240" w:line="360" w:lineRule="auto"/>
        <w:ind w:left="360" w:right="902"/>
        <w:jc w:val="both"/>
        <w:rPr>
          <w:rFonts w:ascii="Palatino Linotype" w:hAnsi="Palatino Linotype" w:cs="Arial"/>
          <w:i/>
        </w:rPr>
      </w:pPr>
      <w:r w:rsidRPr="0021687C">
        <w:rPr>
          <w:rFonts w:ascii="Palatino Linotype" w:eastAsiaTheme="minorEastAsia" w:hAnsi="Palatino Linotype" w:cs="Arial"/>
          <w:i/>
        </w:rPr>
        <w:t>“</w:t>
      </w:r>
      <w:r w:rsidRPr="0021687C">
        <w:rPr>
          <w:rFonts w:ascii="Palatino Linotype" w:hAnsi="Palatino Linotype"/>
          <w:i/>
        </w:rPr>
        <w:t>Histórico de profesores de tiempo completo de la licenciatura en negocios internacionales, de la ingeniería en biotecnología y de la ingeniería en informática desglosados por cuatrimestres</w:t>
      </w:r>
      <w:r w:rsidRPr="0021687C">
        <w:rPr>
          <w:rFonts w:ascii="Palatino Linotype" w:hAnsi="Palatino Linotype"/>
          <w:i/>
          <w:lang w:val="es-ES_tradnl"/>
        </w:rPr>
        <w:t>”</w:t>
      </w:r>
      <w:r w:rsidRPr="0021687C">
        <w:rPr>
          <w:rFonts w:ascii="Palatino Linotype" w:hAnsi="Palatino Linotype" w:cs="Arial"/>
          <w:i/>
        </w:rPr>
        <w:t>(sic)</w:t>
      </w:r>
    </w:p>
    <w:p w:rsidR="0021687C" w:rsidRPr="00F328C2"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F328C2">
        <w:rPr>
          <w:rFonts w:ascii="Palatino Linotype" w:hAnsi="Palatino Linotype" w:cs="Arial"/>
          <w:sz w:val="24"/>
          <w:szCs w:val="24"/>
        </w:rPr>
        <w:t xml:space="preserve">En este sentido, en la resolución señalada con anterioridad el </w:t>
      </w:r>
      <w:r w:rsidRPr="00F328C2">
        <w:rPr>
          <w:rFonts w:ascii="Palatino Linotype" w:hAnsi="Palatino Linotype" w:cs="Arial"/>
          <w:b/>
          <w:sz w:val="24"/>
          <w:szCs w:val="24"/>
        </w:rPr>
        <w:t>SUJETO OBLIGADO</w:t>
      </w:r>
      <w:r>
        <w:rPr>
          <w:rFonts w:ascii="Palatino Linotype" w:hAnsi="Palatino Linotype" w:cs="Arial"/>
          <w:sz w:val="24"/>
          <w:szCs w:val="24"/>
        </w:rPr>
        <w:t xml:space="preserve"> respondió parcialmente a las solicitudes de información; por lo que este Órgano Garante determino ordenar la entrega en versión pública la documentación solicitada con el respectivo acuerdo de Comité de Transparencia que sustente y</w:t>
      </w:r>
      <w:r w:rsidRPr="00F328C2">
        <w:rPr>
          <w:rFonts w:ascii="Palatino Linotype" w:hAnsi="Palatino Linotype" w:cs="Arial"/>
          <w:sz w:val="24"/>
          <w:szCs w:val="24"/>
        </w:rPr>
        <w:t xml:space="preserve"> la eli</w:t>
      </w:r>
      <w:r w:rsidR="004F2B5F">
        <w:rPr>
          <w:rFonts w:ascii="Palatino Linotype" w:hAnsi="Palatino Linotype" w:cs="Arial"/>
          <w:sz w:val="24"/>
          <w:szCs w:val="24"/>
        </w:rPr>
        <w:t xml:space="preserve">minación de la fotografía en </w:t>
      </w:r>
      <w:r>
        <w:rPr>
          <w:rFonts w:ascii="Palatino Linotype" w:hAnsi="Palatino Linotype" w:cs="Arial"/>
          <w:sz w:val="24"/>
          <w:szCs w:val="24"/>
        </w:rPr>
        <w:t>cédulas profesiones</w:t>
      </w:r>
      <w:r w:rsidRPr="00F328C2">
        <w:rPr>
          <w:rFonts w:ascii="Palatino Linotype" w:hAnsi="Palatino Linotype" w:cs="Arial"/>
          <w:sz w:val="24"/>
          <w:szCs w:val="24"/>
        </w:rPr>
        <w:t>, y por ello resulta procedente ordenarle la emisión o en su caso la remisión del referido acuerdo de clasificación como información confidencial para proteger los datos personales.</w:t>
      </w:r>
    </w:p>
    <w:p w:rsidR="0021687C" w:rsidRPr="001C3008" w:rsidRDefault="0021687C" w:rsidP="0021687C">
      <w:pPr>
        <w:spacing w:after="0" w:line="360" w:lineRule="auto"/>
        <w:jc w:val="both"/>
        <w:rPr>
          <w:rFonts w:ascii="Palatino Linotype" w:hAnsi="Palatino Linotype" w:cs="Arial"/>
          <w:sz w:val="24"/>
          <w:szCs w:val="24"/>
        </w:rPr>
      </w:pPr>
    </w:p>
    <w:p w:rsidR="0021687C" w:rsidRPr="004F2B5F" w:rsidRDefault="004F2B5F" w:rsidP="004F2B5F">
      <w:pPr>
        <w:spacing w:after="0" w:line="360" w:lineRule="auto"/>
        <w:ind w:left="360"/>
        <w:jc w:val="both"/>
        <w:rPr>
          <w:rFonts w:ascii="Palatino Linotype" w:hAnsi="Palatino Linotype" w:cs="Arial"/>
          <w:b/>
          <w:sz w:val="24"/>
          <w:szCs w:val="24"/>
        </w:rPr>
      </w:pPr>
      <w:bookmarkStart w:id="9" w:name="_Toc464749291"/>
      <w:bookmarkStart w:id="10" w:name="_Toc521923722"/>
      <w:r>
        <w:rPr>
          <w:rStyle w:val="Ttulo1Car"/>
        </w:rPr>
        <w:t xml:space="preserve">VII. </w:t>
      </w:r>
      <w:r w:rsidR="0021687C" w:rsidRPr="00796B57">
        <w:rPr>
          <w:rStyle w:val="Ttulo1Car"/>
        </w:rPr>
        <w:t>Acceso a la información versus protección de datos personales</w:t>
      </w:r>
      <w:bookmarkEnd w:id="9"/>
      <w:bookmarkEnd w:id="10"/>
      <w:r w:rsidR="0021687C" w:rsidRPr="004F2B5F">
        <w:rPr>
          <w:rFonts w:ascii="Palatino Linotype" w:hAnsi="Palatino Linotype" w:cs="Arial"/>
          <w:b/>
          <w:sz w:val="24"/>
          <w:szCs w:val="24"/>
        </w:rPr>
        <w:t>.</w:t>
      </w:r>
    </w:p>
    <w:p w:rsidR="0021687C"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1C3008">
        <w:rPr>
          <w:rFonts w:ascii="Palatino Linotype" w:hAnsi="Palatino Linotype" w:cs="Arial"/>
          <w:sz w:val="24"/>
          <w:szCs w:val="24"/>
        </w:rPr>
        <w:t>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w:t>
      </w:r>
      <w:r>
        <w:rPr>
          <w:rFonts w:ascii="Palatino Linotype" w:hAnsi="Palatino Linotype" w:cs="Arial"/>
          <w:sz w:val="24"/>
          <w:szCs w:val="24"/>
        </w:rPr>
        <w:t xml:space="preserve"> </w:t>
      </w:r>
    </w:p>
    <w:p w:rsidR="0021687C" w:rsidRDefault="0021687C" w:rsidP="0021687C">
      <w:pPr>
        <w:pStyle w:val="Prrafodelista"/>
        <w:spacing w:after="0" w:line="360" w:lineRule="auto"/>
        <w:ind w:left="0"/>
        <w:jc w:val="both"/>
        <w:rPr>
          <w:rFonts w:ascii="Palatino Linotype" w:hAnsi="Palatino Linotype" w:cs="Arial"/>
          <w:sz w:val="24"/>
          <w:szCs w:val="24"/>
        </w:rPr>
      </w:pPr>
    </w:p>
    <w:p w:rsidR="0021687C"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A34F66">
        <w:rPr>
          <w:rFonts w:ascii="Palatino Linotype" w:hAnsi="Palatino Linotype" w:cs="Arial"/>
          <w:sz w:val="24"/>
          <w:szCs w:val="24"/>
        </w:rPr>
        <w:lastRenderedPageBreak/>
        <w:t>El acceder a la copia del título profesional, cédula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9A706C" w:rsidRDefault="009A706C" w:rsidP="009A706C">
      <w:pPr>
        <w:spacing w:after="0" w:line="360" w:lineRule="auto"/>
        <w:contextualSpacing/>
        <w:jc w:val="both"/>
        <w:rPr>
          <w:rFonts w:ascii="Palatino Linotype" w:hAnsi="Palatino Linotype" w:cs="Arial"/>
          <w:sz w:val="24"/>
          <w:szCs w:val="24"/>
        </w:rPr>
      </w:pPr>
    </w:p>
    <w:p w:rsidR="0021687C"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A34F66">
        <w:rPr>
          <w:rFonts w:ascii="Palatino Linotype" w:hAnsi="Palatino Linotype" w:cs="Arial"/>
          <w:sz w:val="24"/>
          <w:szCs w:val="24"/>
        </w:rPr>
        <w:t xml:space="preserve">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idoneidad profesional, pero si la concurrencia de todos los elementos que integran la documental, lo que permite constatar la acreditación profesional, entre los cuales, la </w:t>
      </w:r>
      <w:r w:rsidRPr="00997334">
        <w:rPr>
          <w:rFonts w:ascii="Palatino Linotype" w:hAnsi="Palatino Linotype" w:cs="Arial"/>
          <w:sz w:val="24"/>
          <w:szCs w:val="24"/>
        </w:rPr>
        <w:t>fotografía resulta esencial para determinar la identidad de quien obtiene un Título Profesional o bien, una cédula profesional.</w:t>
      </w:r>
    </w:p>
    <w:p w:rsidR="0021687C" w:rsidRPr="00B9197D" w:rsidRDefault="0021687C" w:rsidP="0021687C">
      <w:pPr>
        <w:pStyle w:val="Prrafodelista"/>
        <w:rPr>
          <w:rFonts w:ascii="Palatino Linotype" w:hAnsi="Palatino Linotype" w:cs="Arial"/>
          <w:sz w:val="24"/>
          <w:szCs w:val="24"/>
        </w:rPr>
      </w:pPr>
    </w:p>
    <w:p w:rsidR="0021687C" w:rsidRPr="00997334"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997334">
        <w:rPr>
          <w:rFonts w:ascii="Palatino Linotype" w:hAnsi="Palatino Linotype" w:cs="Arial"/>
          <w:sz w:val="24"/>
          <w:szCs w:val="24"/>
        </w:rPr>
        <w:t xml:space="preserve">Suponiendo sin conceder, que se trate de una probable colisión de derechos entre el de acceso a la información, del </w:t>
      </w:r>
      <w:r>
        <w:rPr>
          <w:rFonts w:ascii="Palatino Linotype" w:hAnsi="Palatino Linotype" w:cs="Arial"/>
          <w:sz w:val="24"/>
          <w:szCs w:val="24"/>
        </w:rPr>
        <w:t>particular</w:t>
      </w:r>
      <w:r>
        <w:rPr>
          <w:rFonts w:ascii="Palatino Linotype" w:hAnsi="Palatino Linotype"/>
          <w:b/>
        </w:rPr>
        <w:t xml:space="preserve"> </w:t>
      </w:r>
      <w:r w:rsidRPr="00997334">
        <w:rPr>
          <w:rFonts w:ascii="Palatino Linotype" w:hAnsi="Palatino Linotype" w:cs="Arial"/>
          <w:sz w:val="24"/>
          <w:szCs w:val="24"/>
        </w:rPr>
        <w:t xml:space="preserve">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21687C" w:rsidRPr="00997334" w:rsidRDefault="0021687C" w:rsidP="0021687C">
      <w:pPr>
        <w:spacing w:after="0" w:line="360" w:lineRule="auto"/>
        <w:contextualSpacing/>
        <w:jc w:val="both"/>
        <w:rPr>
          <w:rFonts w:ascii="Palatino Linotype" w:hAnsi="Palatino Linotype" w:cs="Arial"/>
          <w:sz w:val="24"/>
          <w:szCs w:val="24"/>
        </w:rPr>
      </w:pPr>
    </w:p>
    <w:p w:rsidR="0021687C"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997334">
        <w:rPr>
          <w:rFonts w:ascii="Palatino Linotype" w:hAnsi="Palatino Linotype" w:cs="Arial"/>
          <w:sz w:val="24"/>
          <w:szCs w:val="24"/>
        </w:rPr>
        <w:t>En estos casos, el intérprete externo y los ius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9A706C" w:rsidRDefault="009A706C" w:rsidP="009A706C">
      <w:pPr>
        <w:pStyle w:val="Prrafodelista"/>
        <w:rPr>
          <w:rFonts w:ascii="Palatino Linotype" w:hAnsi="Palatino Linotype" w:cs="Arial"/>
          <w:sz w:val="24"/>
          <w:szCs w:val="24"/>
        </w:rPr>
      </w:pPr>
    </w:p>
    <w:p w:rsidR="009A706C" w:rsidRDefault="009A706C" w:rsidP="009A706C">
      <w:pPr>
        <w:spacing w:after="0" w:line="360" w:lineRule="auto"/>
        <w:contextualSpacing/>
        <w:jc w:val="both"/>
        <w:rPr>
          <w:rFonts w:ascii="Palatino Linotype" w:hAnsi="Palatino Linotype" w:cs="Arial"/>
          <w:sz w:val="24"/>
          <w:szCs w:val="24"/>
        </w:rPr>
      </w:pPr>
    </w:p>
    <w:p w:rsidR="0021687C" w:rsidRDefault="0021687C" w:rsidP="0021687C">
      <w:pPr>
        <w:pStyle w:val="Ttulo1"/>
        <w:numPr>
          <w:ilvl w:val="0"/>
          <w:numId w:val="20"/>
        </w:numPr>
      </w:pPr>
      <w:bookmarkStart w:id="11" w:name="_Toc464749292"/>
      <w:bookmarkStart w:id="12" w:name="_Toc521923723"/>
      <w:r w:rsidRPr="00997334">
        <w:lastRenderedPageBreak/>
        <w:t>Juicio de idoneidad.</w:t>
      </w:r>
      <w:bookmarkEnd w:id="11"/>
      <w:bookmarkEnd w:id="12"/>
    </w:p>
    <w:p w:rsidR="0021687C" w:rsidRPr="00B9197D" w:rsidRDefault="0021687C" w:rsidP="0021687C"/>
    <w:p w:rsidR="009A706C" w:rsidRDefault="0021687C" w:rsidP="009A706C">
      <w:pPr>
        <w:numPr>
          <w:ilvl w:val="0"/>
          <w:numId w:val="1"/>
        </w:numPr>
        <w:spacing w:after="0" w:line="360" w:lineRule="auto"/>
        <w:ind w:left="0" w:firstLine="0"/>
        <w:contextualSpacing/>
        <w:jc w:val="both"/>
        <w:rPr>
          <w:rFonts w:ascii="Palatino Linotype" w:hAnsi="Palatino Linotype" w:cs="Arial"/>
          <w:sz w:val="24"/>
          <w:szCs w:val="24"/>
        </w:rPr>
      </w:pPr>
      <w:r w:rsidRPr="00320FC6">
        <w:rPr>
          <w:rFonts w:ascii="Palatino Linotype" w:hAnsi="Palatino Linotype" w:cs="Arial"/>
          <w:sz w:val="24"/>
          <w:szCs w:val="24"/>
        </w:rPr>
        <w:t xml:space="preserve">El derecho de acceso a la información se plantea a través de la solicitud para acceder a los títulos y cedulas profesionales del </w:t>
      </w:r>
      <w:r w:rsidRPr="00320FC6">
        <w:rPr>
          <w:rFonts w:ascii="Palatino Linotype" w:hAnsi="Palatino Linotype" w:cs="Arial"/>
          <w:i/>
          <w:sz w:val="24"/>
          <w:szCs w:val="24"/>
        </w:rPr>
        <w:t>Tesorero Municipal, de los servidores públicos que son supervisores de obra pública y de quien revisa precios unitarios.</w:t>
      </w:r>
      <w:r w:rsidRPr="00320FC6">
        <w:rPr>
          <w:rFonts w:ascii="Palatino Linotype" w:hAnsi="Palatino Linotype" w:cs="Arial"/>
          <w:sz w:val="24"/>
          <w:szCs w:val="24"/>
        </w:rPr>
        <w:t xml:space="preserve">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w:t>
      </w:r>
      <w:r w:rsidRPr="00320FC6">
        <w:rPr>
          <w:rFonts w:ascii="Palatino Linotype" w:hAnsi="Palatino Linotype" w:cs="Arial"/>
          <w:b/>
          <w:sz w:val="24"/>
          <w:szCs w:val="24"/>
        </w:rPr>
        <w:t>idónea</w:t>
      </w:r>
      <w:r w:rsidRPr="00320FC6">
        <w:rPr>
          <w:rFonts w:ascii="Palatino Linotype" w:hAnsi="Palatino Linotype" w:cs="Arial"/>
          <w:sz w:val="24"/>
          <w:szCs w:val="24"/>
        </w:rPr>
        <w:t xml:space="preserve"> para que el </w:t>
      </w:r>
      <w:r w:rsidRPr="00320FC6">
        <w:rPr>
          <w:rFonts w:ascii="Palatino Linotype" w:hAnsi="Palatino Linotype" w:cs="Arial"/>
          <w:b/>
          <w:sz w:val="24"/>
          <w:szCs w:val="24"/>
        </w:rPr>
        <w:t>RECURRENTE</w:t>
      </w:r>
      <w:r w:rsidRPr="00320FC6">
        <w:rPr>
          <w:rFonts w:ascii="Palatino Linotype" w:hAnsi="Palatino Linotype"/>
          <w:b/>
          <w:sz w:val="24"/>
          <w:szCs w:val="24"/>
          <w:lang w:val="es-ES_tradnl"/>
        </w:rPr>
        <w:t xml:space="preserve"> </w:t>
      </w:r>
      <w:r w:rsidRPr="00320FC6">
        <w:rPr>
          <w:rFonts w:ascii="Palatino Linotype" w:hAnsi="Palatino Linotype" w:cs="Arial"/>
          <w:sz w:val="24"/>
          <w:szCs w:val="24"/>
        </w:rPr>
        <w:t xml:space="preserve"> satisfaga su interés de verificar que las personas que desempeña tal cargo cumple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21687C" w:rsidRDefault="0021687C" w:rsidP="0021687C">
      <w:pPr>
        <w:pStyle w:val="Ttulo1"/>
        <w:numPr>
          <w:ilvl w:val="0"/>
          <w:numId w:val="20"/>
        </w:numPr>
      </w:pPr>
      <w:bookmarkStart w:id="13" w:name="_Toc464749293"/>
      <w:bookmarkStart w:id="14" w:name="_Toc521923724"/>
      <w:r w:rsidRPr="00997334">
        <w:t>Juicio de Necesidad.</w:t>
      </w:r>
      <w:bookmarkEnd w:id="13"/>
      <w:bookmarkEnd w:id="14"/>
    </w:p>
    <w:p w:rsidR="0021687C" w:rsidRPr="00F328C2" w:rsidRDefault="0021687C" w:rsidP="0021687C">
      <w:pPr>
        <w:pStyle w:val="Prrafodelista"/>
        <w:ind w:left="750"/>
      </w:pPr>
    </w:p>
    <w:p w:rsidR="0021687C"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89626C">
        <w:rPr>
          <w:rFonts w:ascii="Palatino Linotype" w:hAnsi="Palatino Linotype" w:cs="Arial"/>
          <w:sz w:val="24"/>
          <w:szCs w:val="24"/>
        </w:rPr>
        <w:t xml:space="preserve">Para que </w:t>
      </w:r>
      <w:r>
        <w:rPr>
          <w:rFonts w:ascii="Palatino Linotype" w:hAnsi="Palatino Linotype" w:cs="Arial"/>
          <w:sz w:val="24"/>
          <w:szCs w:val="24"/>
        </w:rPr>
        <w:t>se</w:t>
      </w:r>
      <w:r>
        <w:rPr>
          <w:rFonts w:ascii="Palatino Linotype" w:hAnsi="Palatino Linotype"/>
          <w:b/>
        </w:rPr>
        <w:t xml:space="preserve"> </w:t>
      </w:r>
      <w:r>
        <w:rPr>
          <w:rFonts w:ascii="Palatino Linotype" w:hAnsi="Palatino Linotype" w:cs="Arial"/>
          <w:sz w:val="24"/>
          <w:szCs w:val="24"/>
        </w:rPr>
        <w:t xml:space="preserve">vea satisfecha </w:t>
      </w:r>
      <w:r w:rsidRPr="0089626C">
        <w:rPr>
          <w:rFonts w:ascii="Palatino Linotype" w:hAnsi="Palatino Linotype" w:cs="Arial"/>
          <w:sz w:val="24"/>
          <w:szCs w:val="24"/>
        </w:rPr>
        <w:t xml:space="preserve"> pretensión</w:t>
      </w:r>
      <w:r>
        <w:rPr>
          <w:rFonts w:ascii="Palatino Linotype" w:hAnsi="Palatino Linotype" w:cs="Arial"/>
          <w:sz w:val="24"/>
          <w:szCs w:val="24"/>
        </w:rPr>
        <w:t xml:space="preserve"> del particular</w:t>
      </w:r>
      <w:r w:rsidRPr="0089626C">
        <w:rPr>
          <w:rFonts w:ascii="Palatino Linotype" w:hAnsi="Palatino Linotype" w:cs="Arial"/>
          <w:sz w:val="24"/>
          <w:szCs w:val="24"/>
        </w:rPr>
        <w:t xml:space="preserve"> y su derecho sea respetado, es </w:t>
      </w:r>
      <w:r w:rsidRPr="0089626C">
        <w:rPr>
          <w:rFonts w:ascii="Palatino Linotype" w:hAnsi="Palatino Linotype" w:cs="Arial"/>
          <w:b/>
          <w:sz w:val="24"/>
          <w:szCs w:val="24"/>
        </w:rPr>
        <w:t>necesario</w:t>
      </w:r>
      <w:r w:rsidRPr="0089626C">
        <w:rPr>
          <w:rFonts w:ascii="Palatino Linotype" w:hAnsi="Palatino Linotype" w:cs="Arial"/>
          <w:sz w:val="24"/>
          <w:szCs w:val="24"/>
        </w:rPr>
        <w:t xml:space="preserve"> que acceda al documento que acredita el grado académico y a todos los elementos que lo componen, el nombre asentado en el documento puede </w:t>
      </w:r>
      <w:r w:rsidRPr="0089626C">
        <w:rPr>
          <w:rFonts w:ascii="Palatino Linotype" w:hAnsi="Palatino Linotype" w:cs="Arial"/>
          <w:sz w:val="24"/>
          <w:szCs w:val="24"/>
        </w:rPr>
        <w:lastRenderedPageBreak/>
        <w:t>ser contrastado con cual</w:t>
      </w:r>
      <w:r>
        <w:rPr>
          <w:rFonts w:ascii="Palatino Linotype" w:hAnsi="Palatino Linotype" w:cs="Arial"/>
          <w:sz w:val="24"/>
          <w:szCs w:val="24"/>
        </w:rPr>
        <w:t xml:space="preserve">quier otro documento con el objeto de </w:t>
      </w:r>
      <w:r w:rsidRPr="0089626C">
        <w:rPr>
          <w:rFonts w:ascii="Palatino Linotype" w:hAnsi="Palatino Linotype" w:cs="Arial"/>
          <w:sz w:val="24"/>
          <w:szCs w:val="24"/>
        </w:rPr>
        <w:t>verificar que se trate de la</w:t>
      </w:r>
      <w:r>
        <w:rPr>
          <w:rFonts w:ascii="Palatino Linotype" w:hAnsi="Palatino Linotype" w:cs="Arial"/>
          <w:sz w:val="24"/>
          <w:szCs w:val="24"/>
        </w:rPr>
        <w:t>s</w:t>
      </w:r>
      <w:r w:rsidRPr="0089626C">
        <w:rPr>
          <w:rFonts w:ascii="Palatino Linotype" w:hAnsi="Palatino Linotype" w:cs="Arial"/>
          <w:sz w:val="24"/>
          <w:szCs w:val="24"/>
        </w:rPr>
        <w:t xml:space="preserve"> misma</w:t>
      </w:r>
      <w:r>
        <w:rPr>
          <w:rFonts w:ascii="Palatino Linotype" w:hAnsi="Palatino Linotype" w:cs="Arial"/>
          <w:sz w:val="24"/>
          <w:szCs w:val="24"/>
        </w:rPr>
        <w:t>s</w:t>
      </w:r>
      <w:r w:rsidRPr="0089626C">
        <w:rPr>
          <w:rFonts w:ascii="Palatino Linotype" w:hAnsi="Palatino Linotype" w:cs="Arial"/>
          <w:sz w:val="24"/>
          <w:szCs w:val="24"/>
        </w:rPr>
        <w:t xml:space="preserve"> persona</w:t>
      </w:r>
      <w:r>
        <w:rPr>
          <w:rFonts w:ascii="Palatino Linotype" w:hAnsi="Palatino Linotype" w:cs="Arial"/>
          <w:sz w:val="24"/>
          <w:szCs w:val="24"/>
        </w:rPr>
        <w:t>s</w:t>
      </w:r>
      <w:r w:rsidRPr="0089626C">
        <w:rPr>
          <w:rFonts w:ascii="Palatino Linotype" w:hAnsi="Palatino Linotype" w:cs="Arial"/>
          <w:sz w:val="24"/>
          <w:szCs w:val="24"/>
        </w:rPr>
        <w:t xml:space="preserve">;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Impedir el acceso a alguno de los elementos que integra el documento resta todo su valor y utilidad para los propósitos legítimos </w:t>
      </w:r>
      <w:r>
        <w:rPr>
          <w:rFonts w:ascii="Palatino Linotype" w:hAnsi="Palatino Linotype" w:cs="Arial"/>
          <w:sz w:val="24"/>
          <w:szCs w:val="24"/>
        </w:rPr>
        <w:t xml:space="preserve">del </w:t>
      </w:r>
      <w:r>
        <w:rPr>
          <w:rFonts w:ascii="Palatino Linotype" w:hAnsi="Palatino Linotype" w:cs="Arial"/>
          <w:b/>
          <w:sz w:val="24"/>
          <w:szCs w:val="24"/>
        </w:rPr>
        <w:t>RECURRENTE,</w:t>
      </w:r>
      <w:r>
        <w:rPr>
          <w:rFonts w:ascii="Palatino Linotype" w:hAnsi="Palatino Linotype"/>
          <w:b/>
          <w:sz w:val="24"/>
          <w:szCs w:val="24"/>
        </w:rPr>
        <w:t xml:space="preserve"> </w:t>
      </w:r>
      <w:r>
        <w:rPr>
          <w:rFonts w:ascii="Palatino Linotype" w:hAnsi="Palatino Linotype"/>
          <w:b/>
        </w:rPr>
        <w:t xml:space="preserve"> </w:t>
      </w:r>
      <w:r w:rsidRPr="0089626C">
        <w:rPr>
          <w:rFonts w:ascii="Palatino Linotype" w:hAnsi="Palatino Linotype" w:cs="Arial"/>
          <w:sz w:val="24"/>
          <w:szCs w:val="24"/>
        </w:rPr>
        <w:t xml:space="preserve"> por lo que resulta </w:t>
      </w:r>
      <w:r w:rsidRPr="0089626C">
        <w:rPr>
          <w:rFonts w:ascii="Palatino Linotype" w:hAnsi="Palatino Linotype" w:cs="Arial"/>
          <w:b/>
          <w:sz w:val="24"/>
          <w:szCs w:val="24"/>
        </w:rPr>
        <w:t>necesario</w:t>
      </w:r>
      <w:r w:rsidRPr="0089626C">
        <w:rPr>
          <w:rFonts w:ascii="Palatino Linotype" w:hAnsi="Palatino Linotype" w:cs="Arial"/>
          <w:sz w:val="24"/>
          <w:szCs w:val="24"/>
        </w:rPr>
        <w:t xml:space="preserve"> que se conserven en el documento que será entregado.</w:t>
      </w:r>
    </w:p>
    <w:p w:rsidR="0021687C" w:rsidRDefault="0021687C" w:rsidP="0021687C">
      <w:pPr>
        <w:pStyle w:val="Ttulo1"/>
        <w:numPr>
          <w:ilvl w:val="0"/>
          <w:numId w:val="20"/>
        </w:numPr>
      </w:pPr>
      <w:bookmarkStart w:id="15" w:name="_Toc464749294"/>
      <w:bookmarkStart w:id="16" w:name="_Toc521923725"/>
      <w:r w:rsidRPr="00997334">
        <w:t>Juicio de estricta proporcionalidad.</w:t>
      </w:r>
      <w:bookmarkEnd w:id="15"/>
      <w:bookmarkEnd w:id="16"/>
    </w:p>
    <w:p w:rsidR="0021687C" w:rsidRPr="00F328C2" w:rsidRDefault="0021687C" w:rsidP="0021687C">
      <w:pPr>
        <w:pStyle w:val="Prrafodelista"/>
        <w:ind w:left="750"/>
      </w:pPr>
    </w:p>
    <w:p w:rsidR="0021687C"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89626C">
        <w:rPr>
          <w:rFonts w:ascii="Palatino Linotype" w:hAnsi="Palatino Linotype" w:cs="Arial"/>
          <w:sz w:val="24"/>
          <w:szCs w:val="24"/>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w:t>
      </w:r>
      <w:r>
        <w:rPr>
          <w:rFonts w:ascii="Palatino Linotype" w:hAnsi="Palatino Linotype" w:cs="Arial"/>
          <w:sz w:val="24"/>
          <w:szCs w:val="24"/>
        </w:rPr>
        <w:t xml:space="preserve">aso es evidente que para   se </w:t>
      </w:r>
      <w:r w:rsidRPr="0089626C">
        <w:rPr>
          <w:rFonts w:ascii="Palatino Linotype" w:hAnsi="Palatino Linotype" w:cs="Arial"/>
          <w:sz w:val="24"/>
          <w:szCs w:val="24"/>
        </w:rPr>
        <w:t xml:space="preserve">pueda acceder </w:t>
      </w:r>
      <w:r>
        <w:rPr>
          <w:rFonts w:ascii="Palatino Linotype" w:hAnsi="Palatino Linotype" w:cs="Arial"/>
          <w:sz w:val="24"/>
          <w:szCs w:val="24"/>
        </w:rPr>
        <w:t xml:space="preserve"> a la cédula profesional</w:t>
      </w:r>
      <w:r w:rsidRPr="0089626C">
        <w:rPr>
          <w:rFonts w:ascii="Palatino Linotype" w:hAnsi="Palatino Linotype" w:cs="Arial"/>
          <w:sz w:val="24"/>
          <w:szCs w:val="24"/>
        </w:rPr>
        <w:t xml:space="preserve"> con la finalidad de generarse los elementos necesarios que le permitan manifestar, de manera libre e informada, su expresión o sus ideas, y en este caso en particular para realizar el control popular de los actos de gobierno, y verificar que en efecto el título entregado </w:t>
      </w:r>
      <w:r>
        <w:rPr>
          <w:rFonts w:ascii="Palatino Linotype" w:hAnsi="Palatino Linotype" w:cs="Arial"/>
          <w:sz w:val="24"/>
          <w:szCs w:val="24"/>
        </w:rPr>
        <w:t>en</w:t>
      </w:r>
      <w:r w:rsidRPr="0089626C">
        <w:rPr>
          <w:rFonts w:ascii="Palatino Linotype" w:hAnsi="Palatino Linotype" w:cs="Arial"/>
          <w:sz w:val="24"/>
          <w:szCs w:val="24"/>
        </w:rPr>
        <w:t xml:space="preserve"> la respuesta corresponda a</w:t>
      </w:r>
      <w:r>
        <w:rPr>
          <w:rFonts w:ascii="Palatino Linotype" w:hAnsi="Palatino Linotype" w:cs="Arial"/>
          <w:sz w:val="24"/>
          <w:szCs w:val="24"/>
        </w:rPr>
        <w:t xml:space="preserve"> </w:t>
      </w:r>
      <w:r w:rsidRPr="0089626C">
        <w:rPr>
          <w:rFonts w:ascii="Palatino Linotype" w:hAnsi="Palatino Linotype" w:cs="Arial"/>
          <w:sz w:val="24"/>
          <w:szCs w:val="24"/>
        </w:rPr>
        <w:t>l</w:t>
      </w:r>
      <w:r>
        <w:rPr>
          <w:rFonts w:ascii="Palatino Linotype" w:hAnsi="Palatino Linotype" w:cs="Arial"/>
          <w:sz w:val="24"/>
          <w:szCs w:val="24"/>
        </w:rPr>
        <w:t xml:space="preserve">os </w:t>
      </w:r>
      <w:r w:rsidRPr="0089626C">
        <w:rPr>
          <w:rFonts w:ascii="Palatino Linotype" w:hAnsi="Palatino Linotype" w:cs="Arial"/>
          <w:sz w:val="24"/>
          <w:szCs w:val="24"/>
        </w:rPr>
        <w:t>servidor</w:t>
      </w:r>
      <w:r>
        <w:rPr>
          <w:rFonts w:ascii="Palatino Linotype" w:hAnsi="Palatino Linotype" w:cs="Arial"/>
          <w:sz w:val="24"/>
          <w:szCs w:val="24"/>
        </w:rPr>
        <w:t>es</w:t>
      </w:r>
      <w:r w:rsidRPr="0089626C">
        <w:rPr>
          <w:rFonts w:ascii="Palatino Linotype" w:hAnsi="Palatino Linotype" w:cs="Arial"/>
          <w:sz w:val="24"/>
          <w:szCs w:val="24"/>
        </w:rPr>
        <w:t xml:space="preserve"> pública</w:t>
      </w:r>
      <w:r>
        <w:rPr>
          <w:rFonts w:ascii="Palatino Linotype" w:hAnsi="Palatino Linotype" w:cs="Arial"/>
          <w:sz w:val="24"/>
          <w:szCs w:val="24"/>
        </w:rPr>
        <w:t>s</w:t>
      </w:r>
      <w:r w:rsidRPr="0089626C">
        <w:rPr>
          <w:rFonts w:ascii="Palatino Linotype" w:hAnsi="Palatino Linotype" w:cs="Arial"/>
          <w:sz w:val="24"/>
          <w:szCs w:val="24"/>
        </w:rPr>
        <w:t xml:space="preserve"> </w:t>
      </w:r>
      <w:r w:rsidRPr="0089626C">
        <w:rPr>
          <w:rFonts w:ascii="Palatino Linotype" w:hAnsi="Palatino Linotype" w:cs="Arial"/>
          <w:sz w:val="24"/>
          <w:szCs w:val="24"/>
        </w:rPr>
        <w:lastRenderedPageBreak/>
        <w:t xml:space="preserve">que fue señalada en la solicitud de información </w:t>
      </w:r>
      <w:r>
        <w:rPr>
          <w:rFonts w:ascii="Palatino Linotype" w:hAnsi="Palatino Linotype" w:cs="Arial"/>
          <w:sz w:val="24"/>
          <w:szCs w:val="24"/>
        </w:rPr>
        <w:t xml:space="preserve">y que </w:t>
      </w:r>
      <w:r w:rsidRPr="0089626C">
        <w:rPr>
          <w:rFonts w:ascii="Palatino Linotype" w:hAnsi="Palatino Linotype" w:cs="Arial"/>
          <w:sz w:val="24"/>
          <w:szCs w:val="24"/>
        </w:rPr>
        <w:t>sea</w:t>
      </w:r>
      <w:r>
        <w:rPr>
          <w:rFonts w:ascii="Palatino Linotype" w:hAnsi="Palatino Linotype" w:cs="Arial"/>
          <w:sz w:val="24"/>
          <w:szCs w:val="24"/>
        </w:rPr>
        <w:t xml:space="preserve"> la</w:t>
      </w:r>
      <w:r w:rsidRPr="0089626C">
        <w:rPr>
          <w:rFonts w:ascii="Palatino Linotype" w:hAnsi="Palatino Linotype" w:cs="Arial"/>
          <w:sz w:val="24"/>
          <w:szCs w:val="24"/>
        </w:rPr>
        <w:t xml:space="preserve"> misma persona que se observa en la fotografía, en ese tenor, es estrictamente necesario que acceda al documento que lo acredite, el cual se integra por una serie de elementos cuya concurrencia simultánea generan una certeza</w:t>
      </w:r>
      <w:r>
        <w:rPr>
          <w:rFonts w:ascii="Palatino Linotype" w:hAnsi="Palatino Linotype" w:cs="Arial"/>
          <w:sz w:val="24"/>
          <w:szCs w:val="24"/>
        </w:rPr>
        <w:t>.</w:t>
      </w:r>
      <w:r w:rsidRPr="0089626C">
        <w:rPr>
          <w:rFonts w:ascii="Palatino Linotype" w:hAnsi="Palatino Linotype" w:cs="Arial"/>
          <w:sz w:val="24"/>
          <w:szCs w:val="24"/>
        </w:rPr>
        <w:t xml:space="preserve"> Por lo tanto, permitirle el acceso a la documental íntegra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9A706C" w:rsidRDefault="009A706C" w:rsidP="009A706C">
      <w:pPr>
        <w:spacing w:after="0" w:line="360" w:lineRule="auto"/>
        <w:contextualSpacing/>
        <w:jc w:val="both"/>
        <w:rPr>
          <w:rFonts w:ascii="Palatino Linotype" w:hAnsi="Palatino Linotype" w:cs="Arial"/>
          <w:sz w:val="24"/>
          <w:szCs w:val="24"/>
        </w:rPr>
      </w:pPr>
    </w:p>
    <w:p w:rsidR="0021687C" w:rsidRPr="00997334"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89626C">
        <w:rPr>
          <w:rFonts w:ascii="Palatino Linotype" w:hAnsi="Palatino Linotype" w:cs="Arial"/>
          <w:sz w:val="24"/>
          <w:szCs w:val="24"/>
        </w:rPr>
        <w:t xml:space="preserve">En sentido contrario, testar la fotografía impide </w:t>
      </w:r>
      <w:r>
        <w:rPr>
          <w:rFonts w:ascii="Palatino Linotype" w:hAnsi="Palatino Linotype" w:cs="Arial"/>
          <w:sz w:val="24"/>
          <w:szCs w:val="24"/>
        </w:rPr>
        <w:t>que se</w:t>
      </w:r>
      <w:r w:rsidRPr="0089626C">
        <w:rPr>
          <w:rFonts w:ascii="Palatino Linotype" w:eastAsia="Times New Roman" w:hAnsi="Palatino Linotype" w:cs="Arial"/>
          <w:sz w:val="24"/>
          <w:szCs w:val="24"/>
          <w:lang w:val="es-ES_tradnl"/>
        </w:rPr>
        <w:t xml:space="preserve"> </w:t>
      </w:r>
      <w:r w:rsidRPr="0089626C">
        <w:rPr>
          <w:rFonts w:ascii="Palatino Linotype" w:hAnsi="Palatino Linotype" w:cs="Arial"/>
          <w:sz w:val="24"/>
          <w:szCs w:val="24"/>
        </w:rPr>
        <w:t>cuente</w:t>
      </w:r>
      <w:r>
        <w:rPr>
          <w:rFonts w:ascii="Palatino Linotype" w:hAnsi="Palatino Linotype" w:cs="Arial"/>
          <w:sz w:val="24"/>
          <w:szCs w:val="24"/>
        </w:rPr>
        <w:t>n</w:t>
      </w:r>
      <w:r w:rsidRPr="0089626C">
        <w:rPr>
          <w:rFonts w:ascii="Palatino Linotype" w:hAnsi="Palatino Linotype" w:cs="Arial"/>
          <w:sz w:val="24"/>
          <w:szCs w:val="24"/>
        </w:rPr>
        <w:t xml:space="preserve"> con los elementos necesarios e indispensables para apreciar que la persona que ocupa dicho cargo corresponda con la señalada como titular del documento respectivo.</w:t>
      </w:r>
    </w:p>
    <w:p w:rsidR="0021687C" w:rsidRPr="00997334" w:rsidRDefault="0021687C" w:rsidP="0021687C">
      <w:pPr>
        <w:spacing w:after="0" w:line="360" w:lineRule="auto"/>
        <w:ind w:hanging="425"/>
        <w:jc w:val="both"/>
        <w:rPr>
          <w:rFonts w:ascii="Palatino Linotype" w:hAnsi="Palatino Linotype" w:cs="Arial"/>
          <w:sz w:val="24"/>
          <w:szCs w:val="24"/>
        </w:rPr>
      </w:pPr>
    </w:p>
    <w:p w:rsidR="0021687C"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89626C">
        <w:rPr>
          <w:rFonts w:ascii="Palatino Linotype" w:hAnsi="Palatino Linotype" w:cs="Arial"/>
          <w:sz w:val="24"/>
          <w:szCs w:val="24"/>
        </w:rPr>
        <w:t xml:space="preserve">En consecuencia, es que resulta legítimo ordenar la entrega </w:t>
      </w:r>
      <w:r>
        <w:rPr>
          <w:rFonts w:ascii="Palatino Linotype" w:hAnsi="Palatino Linotype" w:cs="Arial"/>
          <w:sz w:val="24"/>
          <w:szCs w:val="24"/>
        </w:rPr>
        <w:t>de la documentación solicitada relativa a los títulos y cédulas profesionales</w:t>
      </w:r>
      <w:r w:rsidRPr="0089626C">
        <w:rPr>
          <w:rFonts w:ascii="Palatino Linotype" w:hAnsi="Palatino Linotype" w:cs="Arial"/>
          <w:sz w:val="24"/>
          <w:szCs w:val="24"/>
        </w:rPr>
        <w:t xml:space="preserve"> sin que se ordene testar la fotografía, con la finalidad de respetar plenamente el derecho</w:t>
      </w:r>
      <w:r>
        <w:rPr>
          <w:rFonts w:ascii="Palatino Linotype" w:hAnsi="Palatino Linotype" w:cs="Arial"/>
          <w:sz w:val="24"/>
          <w:szCs w:val="24"/>
        </w:rPr>
        <w:t xml:space="preserve"> </w:t>
      </w:r>
      <w:r w:rsidRPr="0089626C">
        <w:rPr>
          <w:rFonts w:ascii="Palatino Linotype" w:hAnsi="Palatino Linotype" w:cs="Arial"/>
          <w:sz w:val="24"/>
          <w:szCs w:val="24"/>
        </w:rPr>
        <w:t>de acceso a la información.</w:t>
      </w:r>
    </w:p>
    <w:p w:rsidR="0021687C" w:rsidRPr="00997334" w:rsidRDefault="0021687C" w:rsidP="0021687C">
      <w:pPr>
        <w:spacing w:after="0" w:line="360" w:lineRule="auto"/>
        <w:ind w:hanging="425"/>
        <w:jc w:val="both"/>
        <w:rPr>
          <w:rFonts w:ascii="Palatino Linotype" w:hAnsi="Palatino Linotype" w:cs="Arial"/>
          <w:sz w:val="24"/>
          <w:szCs w:val="24"/>
        </w:rPr>
      </w:pPr>
    </w:p>
    <w:p w:rsidR="0021687C"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Apoya este voto</w:t>
      </w:r>
      <w:r w:rsidRPr="00997334">
        <w:rPr>
          <w:rFonts w:ascii="Palatino Linotype" w:hAnsi="Palatino Linotype" w:cs="Arial"/>
          <w:sz w:val="24"/>
          <w:szCs w:val="24"/>
        </w:rPr>
        <w:t xml:space="preserve"> lo señalado por el en ese entonces Instituto Federal de Acceso a la Información en el criterio 1/13 “Fotografía de una persona física que conste en </w:t>
      </w:r>
      <w:r w:rsidRPr="00997334">
        <w:rPr>
          <w:rFonts w:ascii="Palatino Linotype" w:hAnsi="Palatino Linotype" w:cs="Arial"/>
          <w:sz w:val="24"/>
          <w:szCs w:val="24"/>
        </w:rPr>
        <w:lastRenderedPageBreak/>
        <w:t>su título o cédula profesional no es susceptible de clasificarse con carácter de confidencial” y el 5-09 “Fotografía de servidores públicos es un dato personal confidencial”, el segundo de los cuales reconoce que esto se aplica “salvo en los casos que se detecten circunstancias particulares que ameriten un tratamiento singular del caso en cuestión”.</w:t>
      </w:r>
    </w:p>
    <w:p w:rsidR="0021687C" w:rsidRPr="00997334" w:rsidRDefault="004F2B5F" w:rsidP="004F2B5F">
      <w:pPr>
        <w:pStyle w:val="Ttulo1"/>
        <w:ind w:left="360"/>
      </w:pPr>
      <w:bookmarkStart w:id="17" w:name="_Toc464749295"/>
      <w:bookmarkStart w:id="18" w:name="_Toc521923726"/>
      <w:r>
        <w:t xml:space="preserve">VIII. </w:t>
      </w:r>
      <w:r w:rsidR="0021687C" w:rsidRPr="00997334">
        <w:t>Restricciones legítimas al derecho a la privacidad.</w:t>
      </w:r>
      <w:bookmarkEnd w:id="17"/>
      <w:bookmarkEnd w:id="18"/>
    </w:p>
    <w:p w:rsidR="0021687C" w:rsidRPr="001C3008" w:rsidRDefault="0021687C" w:rsidP="0021687C">
      <w:pPr>
        <w:spacing w:after="0" w:line="360" w:lineRule="auto"/>
        <w:ind w:left="426" w:hanging="425"/>
        <w:jc w:val="both"/>
        <w:rPr>
          <w:rFonts w:ascii="Palatino Linotype" w:hAnsi="Palatino Linotype" w:cs="Arial"/>
          <w:sz w:val="24"/>
          <w:szCs w:val="24"/>
        </w:rPr>
      </w:pPr>
    </w:p>
    <w:p w:rsidR="0021687C" w:rsidRPr="001C3008"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1C3008">
        <w:rPr>
          <w:rFonts w:ascii="Palatino Linotype" w:hAnsi="Palatino Linotype" w:cs="Arial"/>
          <w:sz w:val="24"/>
          <w:szCs w:val="24"/>
        </w:rPr>
        <w:t>Po</w:t>
      </w:r>
      <w:r>
        <w:rPr>
          <w:rFonts w:ascii="Palatino Linotype" w:hAnsi="Palatino Linotype" w:cs="Arial"/>
          <w:sz w:val="24"/>
          <w:szCs w:val="24"/>
        </w:rPr>
        <w:t xml:space="preserve">dría señalarse que este voto </w:t>
      </w:r>
      <w:r w:rsidRPr="001C3008">
        <w:rPr>
          <w:rFonts w:ascii="Palatino Linotype" w:hAnsi="Palatino Linotype" w:cs="Arial"/>
          <w:sz w:val="24"/>
          <w:szCs w:val="24"/>
        </w:rPr>
        <w:t>constituye una restricción al derecho de protección de datos personales de los funcionarios públicos, lo cual es cierto ya que las mismas disposiciones señalan que es dable establecer límites, siempre y cuando se sujeten a procedimientos estrictos para la adecuada defensa de la dignidad humana y la propia viabilidad de la sociedad democrática.</w:t>
      </w:r>
    </w:p>
    <w:p w:rsidR="0021687C" w:rsidRPr="001C3008" w:rsidRDefault="0021687C" w:rsidP="0021687C">
      <w:pPr>
        <w:spacing w:after="0" w:line="360" w:lineRule="auto"/>
        <w:ind w:hanging="425"/>
        <w:jc w:val="both"/>
        <w:rPr>
          <w:rFonts w:ascii="Palatino Linotype" w:hAnsi="Palatino Linotype" w:cs="Arial"/>
          <w:sz w:val="24"/>
          <w:szCs w:val="24"/>
        </w:rPr>
      </w:pPr>
    </w:p>
    <w:p w:rsidR="0021687C" w:rsidRPr="001C3008"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Para justificar el</w:t>
      </w:r>
      <w:r w:rsidRPr="001C3008">
        <w:rPr>
          <w:rFonts w:ascii="Palatino Linotype" w:hAnsi="Palatino Linotype" w:cs="Arial"/>
          <w:sz w:val="24"/>
          <w:szCs w:val="24"/>
        </w:rPr>
        <w:t xml:space="preserve"> presente </w:t>
      </w:r>
      <w:r>
        <w:rPr>
          <w:rFonts w:ascii="Palatino Linotype" w:hAnsi="Palatino Linotype" w:cs="Arial"/>
          <w:sz w:val="24"/>
          <w:szCs w:val="24"/>
        </w:rPr>
        <w:t>voto</w:t>
      </w:r>
      <w:r w:rsidRPr="001C3008">
        <w:rPr>
          <w:rFonts w:ascii="Palatino Linotype" w:hAnsi="Palatino Linotype" w:cs="Arial"/>
          <w:sz w:val="24"/>
          <w:szCs w:val="24"/>
        </w:rPr>
        <w:t>, vale la pena acudir a criterios de interpretación constitucional bajo el recurso del intérprete externo, según lo recomienda el Dr. Nestor Pedro Sagüés.</w:t>
      </w:r>
      <w:r w:rsidRPr="001C3008">
        <w:rPr>
          <w:rStyle w:val="Refdenotaalpie"/>
          <w:rFonts w:ascii="Palatino Linotype" w:hAnsi="Palatino Linotype" w:cs="Arial"/>
          <w:sz w:val="24"/>
          <w:szCs w:val="24"/>
        </w:rPr>
        <w:footnoteReference w:id="1"/>
      </w:r>
      <w:r w:rsidRPr="001C3008">
        <w:rPr>
          <w:rFonts w:ascii="Palatino Linotype" w:hAnsi="Palatino Linotype" w:cs="Arial"/>
          <w:sz w:val="24"/>
          <w:szCs w:val="24"/>
        </w:rPr>
        <w:t xml:space="preserve"> Para ello se acude a la interpretación de las más Altas Cortes, en primer lugar el Tribunal Constitucional Alemán y en segundo término el Tribunal de Estrasburgo.</w:t>
      </w:r>
    </w:p>
    <w:p w:rsidR="0021687C" w:rsidRPr="001C3008" w:rsidRDefault="0021687C" w:rsidP="0021687C">
      <w:pPr>
        <w:spacing w:after="0" w:line="360" w:lineRule="auto"/>
        <w:ind w:left="426" w:hanging="425"/>
        <w:jc w:val="both"/>
        <w:rPr>
          <w:rFonts w:ascii="Palatino Linotype" w:hAnsi="Palatino Linotype" w:cs="Arial"/>
          <w:sz w:val="24"/>
          <w:szCs w:val="24"/>
        </w:rPr>
      </w:pPr>
    </w:p>
    <w:p w:rsidR="0021687C" w:rsidRPr="001C3008"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1C3008">
        <w:rPr>
          <w:rFonts w:ascii="Palatino Linotype" w:hAnsi="Palatino Linotype" w:cs="Arial"/>
          <w:sz w:val="24"/>
          <w:szCs w:val="24"/>
        </w:rPr>
        <w:lastRenderedPageBreak/>
        <w:t>El Tribunal Constitucional Alemán en su sentencia sobre el espionaje acústico masivo, de 3 de marzo de 2004 (BVerfGE 190, 279) señala:</w:t>
      </w:r>
    </w:p>
    <w:p w:rsidR="0021687C" w:rsidRPr="001C3008" w:rsidRDefault="0021687C" w:rsidP="0021687C">
      <w:pPr>
        <w:pStyle w:val="Prrafodelista"/>
        <w:spacing w:after="0" w:line="360" w:lineRule="auto"/>
        <w:ind w:left="426" w:right="616"/>
        <w:jc w:val="both"/>
        <w:rPr>
          <w:rFonts w:ascii="Palatino Linotype" w:hAnsi="Palatino Linotype" w:cs="Arial"/>
          <w:sz w:val="24"/>
          <w:szCs w:val="24"/>
        </w:rPr>
      </w:pPr>
    </w:p>
    <w:p w:rsidR="0021687C" w:rsidRDefault="0021687C" w:rsidP="0021687C">
      <w:pPr>
        <w:pStyle w:val="Prrafodelista"/>
        <w:spacing w:after="0" w:line="360" w:lineRule="auto"/>
        <w:ind w:left="567" w:right="616"/>
        <w:jc w:val="both"/>
        <w:rPr>
          <w:rFonts w:ascii="Palatino Linotype" w:hAnsi="Palatino Linotype" w:cs="Arial"/>
          <w:i/>
          <w:sz w:val="24"/>
          <w:szCs w:val="24"/>
        </w:rPr>
      </w:pPr>
      <w:r w:rsidRPr="001C3008">
        <w:rPr>
          <w:rFonts w:ascii="Palatino Linotype" w:hAnsi="Palatino Linotype" w:cs="Arial"/>
          <w:i/>
          <w:sz w:val="24"/>
          <w:szCs w:val="24"/>
        </w:rPr>
        <w:t>“a)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1C3008">
        <w:rPr>
          <w:rStyle w:val="Refdenotaalpie"/>
          <w:rFonts w:ascii="Palatino Linotype" w:hAnsi="Palatino Linotype" w:cs="Arial"/>
          <w:i/>
          <w:sz w:val="24"/>
          <w:szCs w:val="24"/>
        </w:rPr>
        <w:footnoteReference w:id="2"/>
      </w:r>
    </w:p>
    <w:p w:rsidR="004F2B5F" w:rsidRPr="001C3008" w:rsidRDefault="004F2B5F" w:rsidP="0021687C">
      <w:pPr>
        <w:pStyle w:val="Prrafodelista"/>
        <w:spacing w:after="0" w:line="360" w:lineRule="auto"/>
        <w:ind w:left="567" w:right="616"/>
        <w:jc w:val="both"/>
        <w:rPr>
          <w:rFonts w:ascii="Palatino Linotype" w:hAnsi="Palatino Linotype" w:cs="Arial"/>
          <w:i/>
          <w:sz w:val="24"/>
          <w:szCs w:val="24"/>
        </w:rPr>
      </w:pPr>
    </w:p>
    <w:p w:rsidR="0021687C"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89626C">
        <w:rPr>
          <w:rFonts w:ascii="Palatino Linotype" w:hAnsi="Palatino Linotype" w:cs="Arial"/>
          <w:sz w:val="24"/>
          <w:szCs w:val="24"/>
        </w:rPr>
        <w:t xml:space="preserve">En el caso de la solicitud de acceso a la información promovida </w:t>
      </w:r>
      <w:r>
        <w:rPr>
          <w:rFonts w:ascii="Palatino Linotype" w:hAnsi="Palatino Linotype" w:cs="Arial"/>
          <w:sz w:val="24"/>
          <w:szCs w:val="24"/>
        </w:rPr>
        <w:t>es evidente que las personas de las cuales se solicita la información no solo han ingresado al servicio público</w:t>
      </w:r>
      <w:r w:rsidRPr="0089626C">
        <w:rPr>
          <w:rFonts w:ascii="Palatino Linotype" w:hAnsi="Palatino Linotype" w:cs="Arial"/>
          <w:sz w:val="24"/>
          <w:szCs w:val="24"/>
        </w:rPr>
        <w:t xml:space="preserve">, sino que además detenta un cargo de alta responsabilidad; por lo </w:t>
      </w:r>
      <w:r w:rsidRPr="0089626C">
        <w:rPr>
          <w:rFonts w:ascii="Palatino Linotype" w:hAnsi="Palatino Linotype" w:cs="Arial"/>
          <w:sz w:val="24"/>
          <w:szCs w:val="24"/>
        </w:rPr>
        <w:lastRenderedPageBreak/>
        <w:t>que hace a la circunstancia de la información requerida,</w:t>
      </w:r>
      <w:r>
        <w:rPr>
          <w:rFonts w:ascii="Palatino Linotype" w:hAnsi="Palatino Linotype" w:cs="Arial"/>
          <w:sz w:val="24"/>
          <w:szCs w:val="24"/>
        </w:rPr>
        <w:t xml:space="preserve"> el título y</w:t>
      </w:r>
      <w:r w:rsidRPr="0089626C">
        <w:rPr>
          <w:rFonts w:ascii="Palatino Linotype" w:hAnsi="Palatino Linotype" w:cs="Arial"/>
          <w:sz w:val="24"/>
          <w:szCs w:val="24"/>
        </w:rPr>
        <w:t xml:space="preserve"> </w:t>
      </w:r>
      <w:r>
        <w:rPr>
          <w:rFonts w:ascii="Palatino Linotype" w:hAnsi="Palatino Linotype" w:cs="Arial"/>
          <w:sz w:val="24"/>
          <w:szCs w:val="24"/>
        </w:rPr>
        <w:t>la cédula profesional</w:t>
      </w:r>
      <w:r w:rsidRPr="0089626C">
        <w:rPr>
          <w:rFonts w:ascii="Palatino Linotype" w:hAnsi="Palatino Linotype" w:cs="Arial"/>
          <w:sz w:val="24"/>
          <w:szCs w:val="24"/>
        </w:rPr>
        <w:t xml:space="preserve"> se rige</w:t>
      </w:r>
      <w:r>
        <w:rPr>
          <w:rFonts w:ascii="Palatino Linotype" w:hAnsi="Palatino Linotype" w:cs="Arial"/>
          <w:sz w:val="24"/>
          <w:szCs w:val="24"/>
        </w:rPr>
        <w:t>n</w:t>
      </w:r>
      <w:r w:rsidRPr="0089626C">
        <w:rPr>
          <w:rFonts w:ascii="Palatino Linotype" w:hAnsi="Palatino Linotype" w:cs="Arial"/>
          <w:sz w:val="24"/>
          <w:szCs w:val="24"/>
        </w:rPr>
        <w:t xml:space="preserve"> por la concurrencia de una serie de elementos, todos los cuales resultan indispensables para acreditar  que una persona determinada cuenta con la patente respectiva; debe señalarse que la documental se ubica en un archivo público y es empleada para efectos de diferentes trámites.</w:t>
      </w:r>
    </w:p>
    <w:p w:rsidR="0021687C" w:rsidRPr="001C3008" w:rsidRDefault="0021687C" w:rsidP="0021687C">
      <w:pPr>
        <w:spacing w:after="0" w:line="360" w:lineRule="auto"/>
        <w:ind w:hanging="425"/>
        <w:jc w:val="both"/>
        <w:rPr>
          <w:rFonts w:ascii="Palatino Linotype" w:hAnsi="Palatino Linotype" w:cs="Arial"/>
          <w:sz w:val="24"/>
          <w:szCs w:val="24"/>
        </w:rPr>
      </w:pPr>
    </w:p>
    <w:p w:rsidR="0021687C" w:rsidRPr="001C3008"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1C3008">
        <w:rPr>
          <w:rFonts w:ascii="Palatino Linotype" w:hAnsi="Palatino Linotype" w:cs="Arial"/>
          <w:sz w:val="24"/>
          <w:szCs w:val="24"/>
        </w:rPr>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21687C" w:rsidRPr="001C3008" w:rsidRDefault="0021687C" w:rsidP="0021687C">
      <w:pPr>
        <w:spacing w:after="0" w:line="360" w:lineRule="auto"/>
        <w:ind w:left="426" w:right="616" w:hanging="567"/>
        <w:jc w:val="both"/>
        <w:rPr>
          <w:rFonts w:ascii="Palatino Linotype" w:hAnsi="Palatino Linotype" w:cs="Arial"/>
          <w:sz w:val="24"/>
          <w:szCs w:val="24"/>
        </w:rPr>
      </w:pPr>
    </w:p>
    <w:p w:rsidR="0021687C" w:rsidRDefault="0021687C" w:rsidP="0021687C">
      <w:pPr>
        <w:tabs>
          <w:tab w:val="left" w:pos="709"/>
        </w:tabs>
        <w:spacing w:after="0" w:line="360" w:lineRule="auto"/>
        <w:ind w:left="709" w:right="616" w:hanging="567"/>
        <w:jc w:val="both"/>
        <w:rPr>
          <w:rFonts w:ascii="Palatino Linotype" w:hAnsi="Palatino Linotype" w:cs="Arial"/>
          <w:i/>
          <w:sz w:val="24"/>
          <w:szCs w:val="24"/>
        </w:rPr>
      </w:pPr>
      <w:r w:rsidRPr="001C3008">
        <w:rPr>
          <w:rFonts w:ascii="Palatino Linotype" w:hAnsi="Palatino Linotype" w:cs="Arial"/>
          <w:i/>
          <w:sz w:val="24"/>
          <w:szCs w:val="24"/>
        </w:rPr>
        <w:t>“52.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Friedl contra Austria de 31 de enero de 1995, serie A núm. 305-B, acuerdo amistoso, Dictamen de la Comisión, pg. 21, aps. 49-52, PG y JH anteriormente citada, ap. 58 y Peck, previamente citada, ap. 61)”.</w:t>
      </w:r>
      <w:r w:rsidRPr="001C3008">
        <w:rPr>
          <w:rStyle w:val="Refdenotaalpie"/>
          <w:rFonts w:ascii="Palatino Linotype" w:hAnsi="Palatino Linotype" w:cs="Arial"/>
          <w:i/>
          <w:sz w:val="24"/>
          <w:szCs w:val="24"/>
        </w:rPr>
        <w:footnoteReference w:id="3"/>
      </w:r>
      <w:r w:rsidRPr="001C3008">
        <w:rPr>
          <w:rFonts w:ascii="Palatino Linotype" w:hAnsi="Palatino Linotype" w:cs="Arial"/>
          <w:i/>
          <w:sz w:val="24"/>
          <w:szCs w:val="24"/>
        </w:rPr>
        <w:t xml:space="preserve">  </w:t>
      </w:r>
    </w:p>
    <w:p w:rsidR="0021687C" w:rsidRPr="001C3008" w:rsidRDefault="0021687C" w:rsidP="0021687C">
      <w:pPr>
        <w:tabs>
          <w:tab w:val="left" w:pos="709"/>
        </w:tabs>
        <w:spacing w:after="0" w:line="360" w:lineRule="auto"/>
        <w:ind w:left="709" w:right="616" w:hanging="567"/>
        <w:jc w:val="both"/>
        <w:rPr>
          <w:rFonts w:ascii="Palatino Linotype" w:hAnsi="Palatino Linotype" w:cs="Arial"/>
          <w:i/>
          <w:sz w:val="24"/>
          <w:szCs w:val="24"/>
        </w:rPr>
      </w:pPr>
    </w:p>
    <w:p w:rsidR="0021687C" w:rsidRPr="001C3008" w:rsidRDefault="0021687C" w:rsidP="0021687C">
      <w:pPr>
        <w:numPr>
          <w:ilvl w:val="0"/>
          <w:numId w:val="1"/>
        </w:numPr>
        <w:spacing w:after="0" w:line="360" w:lineRule="auto"/>
        <w:ind w:left="0" w:firstLine="0"/>
        <w:contextualSpacing/>
        <w:jc w:val="both"/>
        <w:rPr>
          <w:rFonts w:ascii="Palatino Linotype" w:hAnsi="Palatino Linotype" w:cs="Arial"/>
          <w:sz w:val="24"/>
          <w:szCs w:val="24"/>
        </w:rPr>
      </w:pPr>
      <w:r w:rsidRPr="001C3008">
        <w:rPr>
          <w:rFonts w:ascii="Palatino Linotype" w:hAnsi="Palatino Linotype" w:cs="Arial"/>
          <w:sz w:val="24"/>
          <w:szCs w:val="24"/>
        </w:rPr>
        <w:lastRenderedPageBreak/>
        <w:t xml:space="preserve"> En el presente recurso, puede señalarse que la expedición de</w:t>
      </w:r>
      <w:r w:rsidR="004F2B5F">
        <w:rPr>
          <w:rFonts w:ascii="Palatino Linotype" w:hAnsi="Palatino Linotype" w:cs="Arial"/>
          <w:sz w:val="24"/>
          <w:szCs w:val="24"/>
        </w:rPr>
        <w:t xml:space="preserve"> </w:t>
      </w:r>
      <w:r w:rsidRPr="001C3008">
        <w:rPr>
          <w:rFonts w:ascii="Palatino Linotype" w:hAnsi="Palatino Linotype" w:cs="Arial"/>
          <w:sz w:val="24"/>
          <w:szCs w:val="24"/>
        </w:rPr>
        <w:t>l</w:t>
      </w:r>
      <w:r w:rsidR="004F2B5F">
        <w:rPr>
          <w:rFonts w:ascii="Palatino Linotype" w:hAnsi="Palatino Linotype" w:cs="Arial"/>
          <w:sz w:val="24"/>
          <w:szCs w:val="24"/>
        </w:rPr>
        <w:t>a</w:t>
      </w:r>
      <w:r w:rsidRPr="001C3008">
        <w:rPr>
          <w:rFonts w:ascii="Palatino Linotype" w:hAnsi="Palatino Linotype" w:cs="Arial"/>
          <w:sz w:val="24"/>
          <w:szCs w:val="24"/>
        </w:rPr>
        <w:t xml:space="preserve"> cédula</w:t>
      </w:r>
      <w:r w:rsidR="004F2B5F">
        <w:rPr>
          <w:rFonts w:ascii="Palatino Linotype" w:hAnsi="Palatino Linotype" w:cs="Arial"/>
          <w:sz w:val="24"/>
          <w:szCs w:val="24"/>
        </w:rPr>
        <w:t xml:space="preserve"> profesional</w:t>
      </w:r>
      <w:r w:rsidRPr="001C3008">
        <w:rPr>
          <w:rFonts w:ascii="Palatino Linotype" w:hAnsi="Palatino Linotype" w:cs="Arial"/>
          <w:sz w:val="24"/>
          <w:szCs w:val="24"/>
        </w:rPr>
        <w:t xml:space="preserve"> tiene como finalidad el acreditar que una persona determinada cuenta con grado académico respectivo, lo que resulta indispensable para efectos de su práctica profesional toda vez que es perfectamente razonable que, aún en terreno de las relaciones entre particulares, cuando establezca cualquier relación de prestación de servicios, la contraparte contratante ejerza su derecho a verificar que la persona con la que está estableciendo una relación determinada, cuenta con el grado académico respectivo, lo que debería de constituir una obligación 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de profesión expresamente señalados por la ley. Visto lo anterior es evidente que nos encontramos en la esfera de los incidentes públicos y no en el ámbito privado.</w:t>
      </w:r>
    </w:p>
    <w:p w:rsidR="00E6179D" w:rsidRPr="0083488C" w:rsidRDefault="0021687C" w:rsidP="00CD53CB">
      <w:pPr>
        <w:pStyle w:val="Ttulo1"/>
        <w:rPr>
          <w:rFonts w:eastAsia="Calibri"/>
          <w:szCs w:val="24"/>
        </w:rPr>
      </w:pPr>
      <w:bookmarkStart w:id="19" w:name="_Toc521923727"/>
      <w:r>
        <w:rPr>
          <w:rFonts w:eastAsia="Calibri"/>
          <w:color w:val="auto"/>
          <w:szCs w:val="24"/>
        </w:rPr>
        <w:t>I</w:t>
      </w:r>
      <w:r w:rsidR="004F2B5F">
        <w:rPr>
          <w:rFonts w:eastAsia="Calibri"/>
          <w:color w:val="auto"/>
          <w:szCs w:val="24"/>
        </w:rPr>
        <w:t>X</w:t>
      </w:r>
      <w:r>
        <w:rPr>
          <w:rFonts w:eastAsia="Calibri"/>
          <w:color w:val="auto"/>
          <w:szCs w:val="24"/>
        </w:rPr>
        <w:t xml:space="preserve">. </w:t>
      </w:r>
      <w:r w:rsidR="00E6179D" w:rsidRPr="0083488C">
        <w:rPr>
          <w:rFonts w:eastAsia="Calibri"/>
          <w:color w:val="auto"/>
          <w:szCs w:val="24"/>
        </w:rPr>
        <w:t>Conclusión.</w:t>
      </w:r>
      <w:bookmarkEnd w:id="19"/>
    </w:p>
    <w:p w:rsidR="00E6179D" w:rsidRPr="00427B79" w:rsidRDefault="00E6179D" w:rsidP="00E6179D">
      <w:pPr>
        <w:pStyle w:val="Prrafodelista"/>
        <w:ind w:left="0"/>
        <w:rPr>
          <w:rFonts w:ascii="Palatino Linotype" w:eastAsia="Calibri" w:hAnsi="Palatino Linotype" w:cs="Arial"/>
          <w:sz w:val="24"/>
          <w:szCs w:val="24"/>
        </w:rPr>
      </w:pPr>
    </w:p>
    <w:p w:rsidR="00E6179D" w:rsidRDefault="00E6179D" w:rsidP="0021687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w:t>
      </w:r>
      <w:r w:rsidR="004F2B5F">
        <w:rPr>
          <w:rFonts w:ascii="Palatino Linotype" w:eastAsia="Calibri" w:hAnsi="Palatino Linotype" w:cs="Arial"/>
          <w:sz w:val="24"/>
          <w:szCs w:val="24"/>
        </w:rPr>
        <w:t xml:space="preserve"> en primer término </w:t>
      </w:r>
      <w:r w:rsidRPr="00427B79">
        <w:rPr>
          <w:rFonts w:ascii="Palatino Linotype" w:eastAsia="Calibri" w:hAnsi="Palatino Linotype" w:cs="Arial"/>
          <w:sz w:val="24"/>
          <w:szCs w:val="24"/>
        </w:rPr>
        <w:t xml:space="preserv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w:t>
      </w:r>
      <w:r w:rsidRPr="00427B79">
        <w:rPr>
          <w:rFonts w:ascii="Palatino Linotype" w:eastAsia="Calibri" w:hAnsi="Palatino Linotype" w:cs="Arial"/>
          <w:sz w:val="24"/>
          <w:szCs w:val="24"/>
        </w:rPr>
        <w:lastRenderedPageBreak/>
        <w:t>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4F2B5F" w:rsidRDefault="004F2B5F" w:rsidP="004F2B5F">
      <w:pPr>
        <w:spacing w:after="0" w:line="360" w:lineRule="auto"/>
        <w:contextualSpacing/>
        <w:jc w:val="both"/>
        <w:rPr>
          <w:rFonts w:ascii="Palatino Linotype" w:eastAsia="Calibri" w:hAnsi="Palatino Linotype" w:cs="Arial"/>
          <w:sz w:val="24"/>
          <w:szCs w:val="24"/>
        </w:rPr>
      </w:pPr>
    </w:p>
    <w:p w:rsidR="004F2B5F" w:rsidRPr="001C3008" w:rsidRDefault="004F2B5F" w:rsidP="004F2B5F">
      <w:pPr>
        <w:numPr>
          <w:ilvl w:val="0"/>
          <w:numId w:val="1"/>
        </w:numPr>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Por otro lado en relación a </w:t>
      </w:r>
      <w:r w:rsidRPr="001C3008">
        <w:rPr>
          <w:rFonts w:ascii="Palatino Linotype" w:hAnsi="Palatino Linotype" w:cs="Arial"/>
          <w:sz w:val="24"/>
          <w:szCs w:val="24"/>
        </w:rPr>
        <w:t xml:space="preserve"> cédula profesional se integra por un conjunto de elementos cuya concurrencia simultánea permiten identificar clara e indubitablemente que una persona determinada cuenta con título para desempeñar una profesión y que por ello se ha emitido la respectiva patente. Para que </w:t>
      </w:r>
      <w:r>
        <w:rPr>
          <w:rFonts w:ascii="Palatino Linotype" w:hAnsi="Palatino Linotype" w:cs="Arial"/>
          <w:sz w:val="24"/>
          <w:szCs w:val="24"/>
        </w:rPr>
        <w:t xml:space="preserve">se </w:t>
      </w:r>
      <w:r w:rsidRPr="001C3008">
        <w:rPr>
          <w:rFonts w:ascii="Palatino Linotype" w:hAnsi="Palatino Linotype" w:cs="Arial"/>
          <w:sz w:val="24"/>
          <w:szCs w:val="24"/>
        </w:rPr>
        <w:t xml:space="preserve">pueda acceder en plenitud a su derecho de acceso a la información </w:t>
      </w:r>
      <w:r>
        <w:rPr>
          <w:rFonts w:ascii="Palatino Linotype" w:hAnsi="Palatino Linotype" w:cs="Arial"/>
          <w:sz w:val="24"/>
          <w:szCs w:val="24"/>
        </w:rPr>
        <w:t>pública, debería de entrarse</w:t>
      </w:r>
      <w:r w:rsidRPr="001C3008">
        <w:rPr>
          <w:rFonts w:ascii="Palatino Linotype" w:hAnsi="Palatino Linotype" w:cs="Arial"/>
          <w:sz w:val="24"/>
          <w:szCs w:val="24"/>
        </w:rPr>
        <w:t xml:space="preserve"> el documen</w:t>
      </w:r>
      <w:r>
        <w:rPr>
          <w:rFonts w:ascii="Palatino Linotype" w:hAnsi="Palatino Linotype" w:cs="Arial"/>
          <w:sz w:val="24"/>
          <w:szCs w:val="24"/>
        </w:rPr>
        <w:t>to integro en el caso de la cédula profesional únicamente de ser el caso testar la CURP, ya que actuar como se propone en la resolución</w:t>
      </w:r>
      <w:r w:rsidRPr="001C3008">
        <w:rPr>
          <w:rFonts w:ascii="Palatino Linotype" w:hAnsi="Palatino Linotype" w:cs="Arial"/>
          <w:sz w:val="24"/>
          <w:szCs w:val="24"/>
        </w:rPr>
        <w:t xml:space="preserve"> resulta una carga desproporcionada que limita su derecho, afecta el ejercicio de control popular de los actos de gobierno, debilita el debate público informado que, a la larga, sólo puede contribuir al fortalecimiento de la sociedad democrática.</w:t>
      </w:r>
    </w:p>
    <w:p w:rsidR="004F2B5F" w:rsidRDefault="004F2B5F" w:rsidP="004F2B5F">
      <w:pPr>
        <w:spacing w:after="0" w:line="360" w:lineRule="auto"/>
        <w:contextualSpacing/>
        <w:jc w:val="both"/>
        <w:rPr>
          <w:rFonts w:ascii="Palatino Linotype" w:eastAsia="Calibri" w:hAnsi="Palatino Linotype" w:cs="Arial"/>
          <w:sz w:val="24"/>
          <w:szCs w:val="24"/>
        </w:rPr>
      </w:pPr>
    </w:p>
    <w:p w:rsidR="009A706C" w:rsidRDefault="009A706C" w:rsidP="002D7F6B">
      <w:pPr>
        <w:tabs>
          <w:tab w:val="center" w:pos="4419"/>
          <w:tab w:val="right" w:pos="8838"/>
        </w:tabs>
        <w:spacing w:line="240" w:lineRule="auto"/>
        <w:rPr>
          <w:rFonts w:ascii="Palatino Linotype" w:eastAsia="Arial" w:hAnsi="Palatino Linotype" w:cs="Arial"/>
          <w:b/>
          <w:color w:val="000000" w:themeColor="text1"/>
          <w:sz w:val="24"/>
          <w:szCs w:val="24"/>
          <w:lang w:eastAsia="es-MX"/>
        </w:rPr>
      </w:pPr>
    </w:p>
    <w:p w:rsidR="002D7F6B" w:rsidRDefault="002D7F6B" w:rsidP="002D7F6B">
      <w:pPr>
        <w:tabs>
          <w:tab w:val="center" w:pos="4419"/>
          <w:tab w:val="right" w:pos="8838"/>
        </w:tabs>
        <w:spacing w:line="240" w:lineRule="auto"/>
        <w:rPr>
          <w:rFonts w:ascii="Palatino Linotype" w:eastAsia="Arial" w:hAnsi="Palatino Linotype" w:cs="Arial"/>
          <w:b/>
          <w:color w:val="000000" w:themeColor="text1"/>
          <w:sz w:val="24"/>
          <w:szCs w:val="24"/>
          <w:lang w:eastAsia="es-MX"/>
        </w:rPr>
      </w:pPr>
    </w:p>
    <w:p w:rsidR="005D4EE0" w:rsidRDefault="005D4EE0" w:rsidP="002D7F6B">
      <w:pPr>
        <w:tabs>
          <w:tab w:val="center" w:pos="4419"/>
          <w:tab w:val="right" w:pos="8838"/>
        </w:tabs>
        <w:spacing w:line="240" w:lineRule="auto"/>
        <w:rPr>
          <w:rFonts w:ascii="Palatino Linotype" w:eastAsia="Arial" w:hAnsi="Palatino Linotype" w:cs="Arial"/>
          <w:b/>
          <w:color w:val="000000" w:themeColor="text1"/>
          <w:sz w:val="24"/>
          <w:szCs w:val="24"/>
          <w:lang w:eastAsia="es-MX"/>
        </w:rPr>
      </w:pPr>
    </w:p>
    <w:p w:rsidR="003855C9" w:rsidRPr="00427B79" w:rsidRDefault="00C602B8" w:rsidP="002D7F6B">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2D7F6B">
      <w:pPr>
        <w:spacing w:after="0" w:line="24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797A31" w:rsidRPr="00427B79" w:rsidRDefault="00A22908" w:rsidP="002D7F6B">
      <w:pPr>
        <w:spacing w:line="240" w:lineRule="auto"/>
        <w:rPr>
          <w:sz w:val="24"/>
          <w:szCs w:val="24"/>
        </w:rPr>
      </w:pPr>
      <w:r>
        <w:rPr>
          <w:rFonts w:ascii="Palatino Linotype" w:hAnsi="Palatino Linotype"/>
          <w:color w:val="000000" w:themeColor="text1"/>
          <w:sz w:val="24"/>
          <w:szCs w:val="24"/>
        </w:rPr>
        <w:t>JGLH</w:t>
      </w:r>
      <w:r w:rsidR="004F2B5F">
        <w:rPr>
          <w:rFonts w:ascii="Palatino Linotype" w:hAnsi="Palatino Linotype"/>
          <w:color w:val="000000" w:themeColor="text1"/>
          <w:sz w:val="24"/>
          <w:szCs w:val="24"/>
        </w:rPr>
        <w:t>/SEV</w:t>
      </w: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37B" w:rsidRDefault="005F737B" w:rsidP="00E82D3D">
      <w:pPr>
        <w:spacing w:after="0" w:line="240" w:lineRule="auto"/>
      </w:pPr>
      <w:r>
        <w:separator/>
      </w:r>
    </w:p>
  </w:endnote>
  <w:endnote w:type="continuationSeparator" w:id="0">
    <w:p w:rsidR="005F737B" w:rsidRDefault="005F737B"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6BEA">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6BEA">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37B" w:rsidRDefault="005F737B" w:rsidP="00E82D3D">
      <w:pPr>
        <w:spacing w:after="0" w:line="240" w:lineRule="auto"/>
      </w:pPr>
      <w:r>
        <w:separator/>
      </w:r>
    </w:p>
  </w:footnote>
  <w:footnote w:type="continuationSeparator" w:id="0">
    <w:p w:rsidR="005F737B" w:rsidRDefault="005F737B" w:rsidP="00E82D3D">
      <w:pPr>
        <w:spacing w:after="0" w:line="240" w:lineRule="auto"/>
      </w:pPr>
      <w:r>
        <w:continuationSeparator/>
      </w:r>
    </w:p>
  </w:footnote>
  <w:footnote w:id="1">
    <w:p w:rsidR="0021687C" w:rsidRPr="00D84239" w:rsidRDefault="0021687C" w:rsidP="0021687C">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Coed. Porrúa e Instituto Mexicano de Derecho Procesal Constitucional. 2013. Págs. 263 y 264.</w:t>
      </w:r>
    </w:p>
  </w:footnote>
  <w:footnote w:id="2">
    <w:p w:rsidR="0021687C" w:rsidRPr="00D84239" w:rsidRDefault="0021687C" w:rsidP="0021687C">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ÁLVAREZ,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Madrid. Coed. Centro de Estudios Políticos y Constitucionales y Boletín Oficial Español. 2008. Págs. 179 y 180.</w:t>
      </w:r>
    </w:p>
  </w:footnote>
  <w:footnote w:id="3">
    <w:p w:rsidR="0021687C" w:rsidRPr="00D84239" w:rsidRDefault="0021687C" w:rsidP="0021687C">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Navarra. Coed. Thomson y Civitas,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F73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F73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F73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0"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7AA2148"/>
    <w:multiLevelType w:val="hybridMultilevel"/>
    <w:tmpl w:val="E2B4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18"/>
  </w:num>
  <w:num w:numId="5">
    <w:abstractNumId w:val="0"/>
  </w:num>
  <w:num w:numId="6">
    <w:abstractNumId w:val="1"/>
  </w:num>
  <w:num w:numId="7">
    <w:abstractNumId w:val="8"/>
  </w:num>
  <w:num w:numId="8">
    <w:abstractNumId w:val="10"/>
  </w:num>
  <w:num w:numId="9">
    <w:abstractNumId w:val="17"/>
  </w:num>
  <w:num w:numId="10">
    <w:abstractNumId w:val="9"/>
  </w:num>
  <w:num w:numId="11">
    <w:abstractNumId w:val="11"/>
  </w:num>
  <w:num w:numId="12">
    <w:abstractNumId w:val="5"/>
  </w:num>
  <w:num w:numId="13">
    <w:abstractNumId w:val="20"/>
  </w:num>
  <w:num w:numId="14">
    <w:abstractNumId w:val="19"/>
  </w:num>
  <w:num w:numId="15">
    <w:abstractNumId w:val="2"/>
  </w:num>
  <w:num w:numId="16">
    <w:abstractNumId w:val="7"/>
  </w:num>
  <w:num w:numId="17">
    <w:abstractNumId w:val="4"/>
  </w:num>
  <w:num w:numId="18">
    <w:abstractNumId w:val="6"/>
  </w:num>
  <w:num w:numId="19">
    <w:abstractNumId w:val="12"/>
  </w:num>
  <w:num w:numId="20">
    <w:abstractNumId w:val="16"/>
  </w:num>
  <w:num w:numId="2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6BEA"/>
    <w:rsid w:val="00033837"/>
    <w:rsid w:val="000354F0"/>
    <w:rsid w:val="0003648B"/>
    <w:rsid w:val="00047D47"/>
    <w:rsid w:val="00050071"/>
    <w:rsid w:val="00051010"/>
    <w:rsid w:val="00064C7C"/>
    <w:rsid w:val="00080138"/>
    <w:rsid w:val="00083196"/>
    <w:rsid w:val="0009506C"/>
    <w:rsid w:val="000957D0"/>
    <w:rsid w:val="00096CC2"/>
    <w:rsid w:val="000A17C5"/>
    <w:rsid w:val="000B09D7"/>
    <w:rsid w:val="000C57DB"/>
    <w:rsid w:val="000D7611"/>
    <w:rsid w:val="000D78CD"/>
    <w:rsid w:val="000E1ACA"/>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A7D89"/>
    <w:rsid w:val="001B19B4"/>
    <w:rsid w:val="001C23BB"/>
    <w:rsid w:val="001C3DD0"/>
    <w:rsid w:val="001C6366"/>
    <w:rsid w:val="001D71D8"/>
    <w:rsid w:val="001E5635"/>
    <w:rsid w:val="001F0E58"/>
    <w:rsid w:val="001F1428"/>
    <w:rsid w:val="0021687C"/>
    <w:rsid w:val="0022191E"/>
    <w:rsid w:val="00223548"/>
    <w:rsid w:val="00224B9E"/>
    <w:rsid w:val="00230205"/>
    <w:rsid w:val="00241D8A"/>
    <w:rsid w:val="00252BB6"/>
    <w:rsid w:val="002643E6"/>
    <w:rsid w:val="002670D5"/>
    <w:rsid w:val="00270126"/>
    <w:rsid w:val="00273862"/>
    <w:rsid w:val="002A2E8D"/>
    <w:rsid w:val="002A3111"/>
    <w:rsid w:val="002B1FE5"/>
    <w:rsid w:val="002B30C5"/>
    <w:rsid w:val="002C0B0D"/>
    <w:rsid w:val="002C4ACE"/>
    <w:rsid w:val="002D4033"/>
    <w:rsid w:val="002D7F6B"/>
    <w:rsid w:val="002E3ED2"/>
    <w:rsid w:val="002E691F"/>
    <w:rsid w:val="002F79FF"/>
    <w:rsid w:val="00302CEB"/>
    <w:rsid w:val="00305CE0"/>
    <w:rsid w:val="00315772"/>
    <w:rsid w:val="0032084C"/>
    <w:rsid w:val="0032240B"/>
    <w:rsid w:val="003258B6"/>
    <w:rsid w:val="0032670C"/>
    <w:rsid w:val="00336B5F"/>
    <w:rsid w:val="00360A7B"/>
    <w:rsid w:val="003617E4"/>
    <w:rsid w:val="003676A8"/>
    <w:rsid w:val="00376B99"/>
    <w:rsid w:val="00384DBA"/>
    <w:rsid w:val="003855C9"/>
    <w:rsid w:val="003875DC"/>
    <w:rsid w:val="00387F6B"/>
    <w:rsid w:val="003965B8"/>
    <w:rsid w:val="003A0E53"/>
    <w:rsid w:val="003A31EF"/>
    <w:rsid w:val="003A4962"/>
    <w:rsid w:val="003C37C6"/>
    <w:rsid w:val="003C7F8A"/>
    <w:rsid w:val="003D2243"/>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F2B5F"/>
    <w:rsid w:val="004F3ABB"/>
    <w:rsid w:val="004F4DA5"/>
    <w:rsid w:val="00522308"/>
    <w:rsid w:val="0052306C"/>
    <w:rsid w:val="005556CA"/>
    <w:rsid w:val="005650D9"/>
    <w:rsid w:val="00567957"/>
    <w:rsid w:val="005905A5"/>
    <w:rsid w:val="00590C2D"/>
    <w:rsid w:val="00594E5C"/>
    <w:rsid w:val="005A2F43"/>
    <w:rsid w:val="005C0258"/>
    <w:rsid w:val="005D0118"/>
    <w:rsid w:val="005D4EE0"/>
    <w:rsid w:val="005F30BC"/>
    <w:rsid w:val="005F3E96"/>
    <w:rsid w:val="005F737B"/>
    <w:rsid w:val="00611694"/>
    <w:rsid w:val="0061188C"/>
    <w:rsid w:val="00617ACF"/>
    <w:rsid w:val="006319DC"/>
    <w:rsid w:val="00645585"/>
    <w:rsid w:val="006562FF"/>
    <w:rsid w:val="00676187"/>
    <w:rsid w:val="00680533"/>
    <w:rsid w:val="006864CA"/>
    <w:rsid w:val="006A0BDD"/>
    <w:rsid w:val="006B39ED"/>
    <w:rsid w:val="006E22C9"/>
    <w:rsid w:val="006F0A01"/>
    <w:rsid w:val="00715A51"/>
    <w:rsid w:val="00723CDA"/>
    <w:rsid w:val="007241D9"/>
    <w:rsid w:val="00730193"/>
    <w:rsid w:val="00740A46"/>
    <w:rsid w:val="00740DA3"/>
    <w:rsid w:val="00744BA1"/>
    <w:rsid w:val="00772B4B"/>
    <w:rsid w:val="00773AAF"/>
    <w:rsid w:val="00786073"/>
    <w:rsid w:val="00797A31"/>
    <w:rsid w:val="007A1EB0"/>
    <w:rsid w:val="007A4C87"/>
    <w:rsid w:val="007B2DD9"/>
    <w:rsid w:val="007D037D"/>
    <w:rsid w:val="007D03AB"/>
    <w:rsid w:val="007D1783"/>
    <w:rsid w:val="007D7732"/>
    <w:rsid w:val="007E48FF"/>
    <w:rsid w:val="00804A5D"/>
    <w:rsid w:val="00806194"/>
    <w:rsid w:val="008076C1"/>
    <w:rsid w:val="00807E40"/>
    <w:rsid w:val="008126FB"/>
    <w:rsid w:val="008216B4"/>
    <w:rsid w:val="008232B6"/>
    <w:rsid w:val="00831B0F"/>
    <w:rsid w:val="0083488C"/>
    <w:rsid w:val="00835C8D"/>
    <w:rsid w:val="00843E5B"/>
    <w:rsid w:val="00862F04"/>
    <w:rsid w:val="008747CB"/>
    <w:rsid w:val="00876065"/>
    <w:rsid w:val="00884EFF"/>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681"/>
    <w:rsid w:val="00987C08"/>
    <w:rsid w:val="00994A15"/>
    <w:rsid w:val="00995C55"/>
    <w:rsid w:val="009A081B"/>
    <w:rsid w:val="009A0D68"/>
    <w:rsid w:val="009A2638"/>
    <w:rsid w:val="009A2D39"/>
    <w:rsid w:val="009A33F0"/>
    <w:rsid w:val="009A706C"/>
    <w:rsid w:val="009B3A5C"/>
    <w:rsid w:val="009C1A2E"/>
    <w:rsid w:val="009C7267"/>
    <w:rsid w:val="009C72FE"/>
    <w:rsid w:val="009D3902"/>
    <w:rsid w:val="009E0EE0"/>
    <w:rsid w:val="009F4960"/>
    <w:rsid w:val="009F6B96"/>
    <w:rsid w:val="009F7B67"/>
    <w:rsid w:val="00A1541E"/>
    <w:rsid w:val="00A22908"/>
    <w:rsid w:val="00A23B00"/>
    <w:rsid w:val="00A245A7"/>
    <w:rsid w:val="00A276D9"/>
    <w:rsid w:val="00A37A86"/>
    <w:rsid w:val="00A42F36"/>
    <w:rsid w:val="00A5179E"/>
    <w:rsid w:val="00A61107"/>
    <w:rsid w:val="00A649E1"/>
    <w:rsid w:val="00A672A5"/>
    <w:rsid w:val="00A67935"/>
    <w:rsid w:val="00A717F7"/>
    <w:rsid w:val="00A749B1"/>
    <w:rsid w:val="00A82E8C"/>
    <w:rsid w:val="00A84374"/>
    <w:rsid w:val="00AA0FB7"/>
    <w:rsid w:val="00AC4FE5"/>
    <w:rsid w:val="00AD4195"/>
    <w:rsid w:val="00AE0090"/>
    <w:rsid w:val="00AE3DF4"/>
    <w:rsid w:val="00AF1B72"/>
    <w:rsid w:val="00B16CE1"/>
    <w:rsid w:val="00B2190C"/>
    <w:rsid w:val="00B32C98"/>
    <w:rsid w:val="00B3675E"/>
    <w:rsid w:val="00B41044"/>
    <w:rsid w:val="00B516DB"/>
    <w:rsid w:val="00B5283D"/>
    <w:rsid w:val="00B57FAA"/>
    <w:rsid w:val="00B73B30"/>
    <w:rsid w:val="00B83FC5"/>
    <w:rsid w:val="00B847EF"/>
    <w:rsid w:val="00B91C16"/>
    <w:rsid w:val="00B9285A"/>
    <w:rsid w:val="00B97DB6"/>
    <w:rsid w:val="00BB27D3"/>
    <w:rsid w:val="00BB4414"/>
    <w:rsid w:val="00BB488C"/>
    <w:rsid w:val="00BB48A7"/>
    <w:rsid w:val="00BC31E0"/>
    <w:rsid w:val="00BD16B5"/>
    <w:rsid w:val="00C076A9"/>
    <w:rsid w:val="00C1158A"/>
    <w:rsid w:val="00C130B3"/>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2263"/>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A90"/>
    <w:rsid w:val="00E41E1B"/>
    <w:rsid w:val="00E51DF4"/>
    <w:rsid w:val="00E535E4"/>
    <w:rsid w:val="00E61519"/>
    <w:rsid w:val="00E6179D"/>
    <w:rsid w:val="00E82D3D"/>
    <w:rsid w:val="00E93266"/>
    <w:rsid w:val="00EA110C"/>
    <w:rsid w:val="00EA7D41"/>
    <w:rsid w:val="00EB7AAD"/>
    <w:rsid w:val="00EC6B7E"/>
    <w:rsid w:val="00ED5157"/>
    <w:rsid w:val="00EF3EA6"/>
    <w:rsid w:val="00EF6FDF"/>
    <w:rsid w:val="00F01271"/>
    <w:rsid w:val="00F1169F"/>
    <w:rsid w:val="00F1403B"/>
    <w:rsid w:val="00F26CE5"/>
    <w:rsid w:val="00F30EE8"/>
    <w:rsid w:val="00F41722"/>
    <w:rsid w:val="00F665AF"/>
    <w:rsid w:val="00F72355"/>
    <w:rsid w:val="00FA6405"/>
    <w:rsid w:val="00FA79CE"/>
    <w:rsid w:val="00FB274F"/>
    <w:rsid w:val="00FC489A"/>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28451-2112-44F6-BFB7-D8E38434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6122</Words>
  <Characters>33676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2018-08-21T16:31:00Z</cp:lastPrinted>
  <dcterms:created xsi:type="dcterms:W3CDTF">2018-11-09T01:45:00Z</dcterms:created>
  <dcterms:modified xsi:type="dcterms:W3CDTF">2018-11-09T01:52:00Z</dcterms:modified>
</cp:coreProperties>
</file>